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467BE0" w:rsidRPr="00EB4D4A" w:rsidRDefault="009D7D8F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sz w:val="18"/>
                <w:szCs w:val="18"/>
              </w:rPr>
              <w:t xml:space="preserve">La disciplina “Tecnologie e progettazione di sistemi informatici e di </w:t>
            </w:r>
            <w:proofErr w:type="gramStart"/>
            <w:r w:rsidRPr="009D7D8F">
              <w:rPr>
                <w:rFonts w:ascii="Times New Roman" w:hAnsi="Times New Roman" w:cs="Times New Roman"/>
                <w:sz w:val="18"/>
                <w:szCs w:val="18"/>
              </w:rPr>
              <w:t>telecomunicazioni ”</w:t>
            </w:r>
            <w:proofErr w:type="gramEnd"/>
            <w:r w:rsidRPr="009D7D8F">
              <w:rPr>
                <w:rFonts w:ascii="Times New Roman" w:hAnsi="Times New Roman" w:cs="Times New Roman"/>
                <w:sz w:val="18"/>
                <w:szCs w:val="18"/>
              </w:rPr>
              <w:t xml:space="preserve"> concorre a far conseguire allo studente al termine del percorso quinquennale i seguenti risultati di apprendimento relativi al profilo educativo, </w:t>
            </w:r>
            <w:r w:rsidR="00EB4D4A">
              <w:rPr>
                <w:rFonts w:ascii="Times New Roman" w:hAnsi="Times New Roman" w:cs="Times New Roman"/>
                <w:sz w:val="18"/>
                <w:szCs w:val="18"/>
              </w:rPr>
              <w:t xml:space="preserve">culturale e professionale </w:t>
            </w:r>
            <w:r w:rsidR="009F5FA3"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(PECUP)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rientarsi nella normativa che disciplina i processi produttivi del settore di riferimento,</w:t>
            </w:r>
            <w:r w:rsidR="00C72792" w:rsidRPr="00821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con particolare attenzione sia alla sicurezza sui luoghi di vita e di lavoro sia alla tutela</w:t>
            </w:r>
            <w:r w:rsidR="0082067C" w:rsidRPr="00821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dell’ambiente e del territorio</w:t>
            </w:r>
            <w:r w:rsidR="006800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ntervenire nelle diverse fasi e livelli del processo produttivo, dall’ideazione alla realizzazione del prodotto, per la parte di propria competenza, utilizzando gli strumenti di progettazione, documentazione e controllo</w:t>
            </w:r>
            <w:r w:rsidR="006800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iconoscere gli aspetti di efficacia, efficienza e qualità nella propria attività lavorativa</w:t>
            </w:r>
            <w:r w:rsidR="006800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adroneggiare l’uso di strumenti tecnologici con particolare attenzione alla sicurezza nei luoghi di vita e di lavoro, alla tutela della persona, dell’ambiente e del territorio.</w:t>
            </w:r>
          </w:p>
          <w:p w:rsidR="009D7D8F" w:rsidRDefault="009D7D8F" w:rsidP="009D7D8F">
            <w:pPr>
              <w:pStyle w:val="Paragrafoelenco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B7750" w:rsidRPr="009D7D8F" w:rsidRDefault="00F03071" w:rsidP="009D7D8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 xml:space="preserve">Sviluppare applicazioni informatiche per reti locali o servizi a distanza. 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 xml:space="preserve">Scegliere dispositivi e strumenti in base alle loro caratteristiche funzionali. 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>Gestire progetti secondo le procedure e gli standard previsti dai sistemi aziendali di gestione della qualità e della sicurezza, gestire processi produttivi correlati a funzioni aziendali.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 xml:space="preserve">Configurare, installare e gestire sistemi di elaborazione dati e reti. </w:t>
            </w:r>
          </w:p>
          <w:p w:rsidR="00467BE0" w:rsidRPr="00467BE0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>Redigere relazioni tecniche e documentare le attività individuali e di gruppo relative a situazioni professionali.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p w:rsidR="00B91A1C" w:rsidRDefault="00B91A1C"/>
    <w:p w:rsidR="00B91A1C" w:rsidRDefault="00B91A1C"/>
    <w:p w:rsidR="00EB4D4A" w:rsidRDefault="00EB4D4A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828"/>
        <w:gridCol w:w="1701"/>
        <w:gridCol w:w="1988"/>
      </w:tblGrid>
      <w:tr w:rsidR="008806ED" w:rsidRPr="002160AA" w:rsidTr="008130C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806ED" w:rsidRPr="008656A7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</w:t>
            </w:r>
            <w:r w:rsidR="00EB4D4A">
              <w:rPr>
                <w:b/>
                <w:bCs/>
                <w:iCs/>
                <w:caps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467BE0" w:rsidRPr="008656A7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E1336A">
              <w:rPr>
                <w:b/>
                <w:bCs/>
                <w:iCs/>
                <w:caps/>
                <w:sz w:val="22"/>
                <w:szCs w:val="22"/>
              </w:rPr>
              <w:t>SISTEMI OPERATIVI RECUPERI E APPROFONDIMENTI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8806ED" w:rsidRPr="008656A7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467BE0" w:rsidRPr="008656A7">
              <w:rPr>
                <w:b/>
                <w:bCs/>
                <w:iCs/>
                <w:sz w:val="22"/>
                <w:szCs w:val="22"/>
              </w:rPr>
              <w:t>Settembre -</w:t>
            </w:r>
            <w:r w:rsidR="008F5E28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6834F8">
              <w:rPr>
                <w:b/>
                <w:bCs/>
                <w:iCs/>
                <w:sz w:val="22"/>
                <w:szCs w:val="22"/>
              </w:rPr>
              <w:t>Ottobre</w:t>
            </w:r>
          </w:p>
        </w:tc>
      </w:tr>
      <w:tr w:rsidR="008656A7" w:rsidRPr="002160AA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19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9C3DEE" w:rsidRPr="005A46FC" w:rsidTr="0013279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24711" w:rsidRDefault="00624711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Classificare i sistemi operativi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Descrivere il ciclo di vita di un processo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Classificare le memorie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 xml:space="preserve">Riconoscere il modello </w:t>
            </w:r>
            <w:proofErr w:type="spellStart"/>
            <w:r w:rsidRPr="009C3DEE">
              <w:rPr>
                <w:bCs/>
                <w:iCs/>
                <w:sz w:val="18"/>
                <w:szCs w:val="18"/>
              </w:rPr>
              <w:t>client-server</w:t>
            </w:r>
            <w:proofErr w:type="spellEnd"/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Classificare le tecniche di gestione delle periferiche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9C3DEE" w:rsidRPr="00B91A1C" w:rsidRDefault="009C3DEE" w:rsidP="009C3DEE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9C3DEE" w:rsidRPr="00B91A1C" w:rsidRDefault="009C3DEE" w:rsidP="009C3DEE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Sapere che cosa succede all’accensione del PC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Conoscere i compiti del sistema operativo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Conoscere la storia dei sistemi operativi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Riconoscere i meccanismi di caricamento del programma in memoria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Conoscere le tecniche di virtualizzazione della memoria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Descrivere le tecniche di realizzazione del file system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I sistemi di protezione dei dati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624711" w:rsidRDefault="009C3DEE" w:rsidP="00624711">
            <w:pPr>
              <w:pStyle w:val="Intestazione"/>
              <w:rPr>
                <w:b/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Conoscere l’hardware dei dispositivi di I/O</w:t>
            </w:r>
            <w:r w:rsidR="000F006F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Utilizzare in modo appropriato la terminologia tecnica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Riconoscere le caratteristiche principali del sistema operativo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Scegliere le politiche di allocazione del processore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Individuare le problematiche per la cooperazione tra processi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Utilizzare le tecniche di back-up dei dati</w:t>
            </w:r>
          </w:p>
          <w:p w:rsidR="009C3DEE" w:rsidRPr="00B91A1C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C3DEE" w:rsidRPr="005E1ECC" w:rsidRDefault="009C3DEE" w:rsidP="009C3DE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iCs/>
                <w:sz w:val="18"/>
                <w:szCs w:val="18"/>
              </w:rPr>
              <w:t>P</w:t>
            </w:r>
            <w:r w:rsidRPr="005E1ECC">
              <w:rPr>
                <w:bCs/>
                <w:iCs/>
                <w:sz w:val="18"/>
                <w:szCs w:val="18"/>
              </w:rPr>
              <w:t>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9C3DEE" w:rsidRPr="00B91A1C" w:rsidRDefault="009C3DEE" w:rsidP="009C3DE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9C3DEE" w:rsidRPr="00B91A1C" w:rsidRDefault="009C3DEE" w:rsidP="009C3DE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9C3DEE" w:rsidRPr="00B91A1C" w:rsidRDefault="009C3DEE" w:rsidP="009C3DE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9C3DEE" w:rsidRPr="00B91A1C" w:rsidRDefault="009C3DEE" w:rsidP="009C3DE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9C3DEE" w:rsidRPr="00B91A1C" w:rsidRDefault="009C3DEE" w:rsidP="009C3DE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9C3DEE" w:rsidRPr="00B91A1C" w:rsidRDefault="009C3DEE" w:rsidP="009C3DE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Sapere che cosa succede all’accensione del PC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Conoscere i compiti del sistema operativo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Conoscere la storia dei sistemi operativi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Riconoscere i meccanismi di caricamento del programma in memoria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Conoscere le tecniche di virtualizzazione della memoria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9C3DEE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Descrivere le tecniche di realizzazione del file system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Utilizzare in modo appropriato la terminologia tecnica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Riconoscere le caratteristiche principali del sistema operativo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Scegliere le politiche di allocazione del processore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9C3DEE" w:rsidRPr="009C3DEE" w:rsidRDefault="009C3DEE" w:rsidP="009C3DE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9C3DEE">
              <w:rPr>
                <w:bCs/>
                <w:iCs/>
                <w:sz w:val="18"/>
                <w:szCs w:val="18"/>
              </w:rPr>
              <w:t>Utilizzare le tecniche di back-up dei dati</w:t>
            </w:r>
          </w:p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1336A" w:rsidRPr="00E1336A" w:rsidRDefault="00E1336A" w:rsidP="00E1336A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1336A">
              <w:rPr>
                <w:bCs/>
                <w:iCs/>
                <w:sz w:val="18"/>
                <w:szCs w:val="18"/>
              </w:rPr>
              <w:t>Sapere che cosa succede all’accensione del PC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E1336A" w:rsidRPr="00E1336A" w:rsidRDefault="00E1336A" w:rsidP="00E1336A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1336A">
              <w:rPr>
                <w:bCs/>
                <w:iCs/>
                <w:sz w:val="18"/>
                <w:szCs w:val="18"/>
              </w:rPr>
              <w:t>Conoscere i compiti del sistema operativo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E1336A" w:rsidRPr="00E1336A" w:rsidRDefault="00E1336A" w:rsidP="00E1336A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1336A">
              <w:rPr>
                <w:bCs/>
                <w:iCs/>
                <w:sz w:val="18"/>
                <w:szCs w:val="18"/>
              </w:rPr>
              <w:t>Conoscere la storia dei sistemi operativi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E1336A" w:rsidP="00E1336A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1336A">
              <w:rPr>
                <w:bCs/>
                <w:iCs/>
                <w:sz w:val="18"/>
                <w:szCs w:val="18"/>
              </w:rPr>
              <w:t>Riconoscere i meccanismi di caricamento del programma in memoria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E1336A" w:rsidRPr="00E1336A" w:rsidRDefault="00E1336A" w:rsidP="00E1336A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1336A">
              <w:rPr>
                <w:bCs/>
                <w:iCs/>
                <w:sz w:val="18"/>
                <w:szCs w:val="18"/>
              </w:rPr>
              <w:t>Utilizzare in modo appropriato la terminologia tecnica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E1336A" w:rsidRPr="00E1336A" w:rsidRDefault="00E1336A" w:rsidP="00E1336A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1336A">
              <w:rPr>
                <w:bCs/>
                <w:iCs/>
                <w:sz w:val="18"/>
                <w:szCs w:val="18"/>
              </w:rPr>
              <w:t>Riconoscere le caratteristiche principali del sistema operativo</w:t>
            </w:r>
            <w:r w:rsidR="006834F8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E1336A" w:rsidRDefault="00E1336A" w:rsidP="00E1336A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1336A">
              <w:rPr>
                <w:bCs/>
                <w:iCs/>
                <w:sz w:val="18"/>
                <w:szCs w:val="18"/>
              </w:rPr>
              <w:t>Utilizzare le tecniche di back-up dei dati</w:t>
            </w: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8806ED" w:rsidRDefault="008806E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467BE0" w:rsidRPr="002160AA" w:rsidTr="005E1ECC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467BE0" w:rsidRPr="008656A7" w:rsidRDefault="00467BE0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2: </w:t>
            </w:r>
            <w:r w:rsidR="00E1336A">
              <w:rPr>
                <w:b/>
                <w:bCs/>
                <w:iCs/>
                <w:caps/>
                <w:sz w:val="22"/>
                <w:szCs w:val="22"/>
              </w:rPr>
              <w:t>SISTEMI OPERATIVI, CONCORRENZA E DINCRONIZZAZIOME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467BE0" w:rsidRPr="008656A7" w:rsidRDefault="006C30F5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6834F8">
              <w:rPr>
                <w:b/>
                <w:bCs/>
                <w:iCs/>
                <w:sz w:val="22"/>
                <w:szCs w:val="22"/>
              </w:rPr>
              <w:t>Novembre</w:t>
            </w:r>
            <w:r w:rsidR="00DE1113">
              <w:rPr>
                <w:b/>
                <w:bCs/>
                <w:iCs/>
                <w:sz w:val="22"/>
                <w:szCs w:val="22"/>
              </w:rPr>
              <w:t xml:space="preserve"> – Marzo </w:t>
            </w:r>
          </w:p>
        </w:tc>
      </w:tr>
      <w:tr w:rsidR="008656A7" w:rsidRPr="002160AA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E1336A" w:rsidRPr="00E1336A" w:rsidRDefault="00E1336A" w:rsidP="00E133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Descrivere l’interazione processi-risorse col grafo di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Holt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Realizzare e semplificare il grafo delle precedenze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Scrivere programmi concorrenti utilizzando l’istruzione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fork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-join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Scrivere programmi concorrenti utilizzando l’istruzione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cobegin-coend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Eseguire un programma C in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Cygwin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Scrivere programmi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multiprocessi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 linguaggio C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le tipologie di errori nei processi paralleli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0F006F" w:rsidRDefault="00E1336A" w:rsidP="00E133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Definire e utilizzare i semafori di basso livello e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spinlock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()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Utilizzare gli strumenti di sincronizzazione per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thread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 C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E1336A" w:rsidRPr="00E1336A" w:rsidRDefault="00E1336A" w:rsidP="00E133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le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condition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variable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 C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E1336A" w:rsidP="00E133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gli strumenti di sincronizzazione per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thread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 C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modelli di elaborazione dei processi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ciclo di vita dei processi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di risorsa condivisa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Distinguere le richieste e le modalità di accesso alle risorse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Apprendere l’utilizzo del grafo di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Holt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per descrivere processi e risorse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differenza tra processi e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thread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di programmazione concorrente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di interazione tra processi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caratteristiche di un linguaggio concorrente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modello ad ambiente globale e locale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l’esigenza di sincronizzazione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il concetto di indivisibilità di una primitiva</w:t>
            </w:r>
            <w:r w:rsidR="006247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regione critica e di mutua esclusione</w:t>
            </w:r>
            <w:r w:rsidR="006247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Sapere la differenza tra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interleaving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overlapping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le condizioni di Bernstein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5E1ECC" w:rsidRPr="008656A7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Avere il concetto di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starvation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di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deadlock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il software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Cygwin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Compilare i programmi C col compilatore GCC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in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thread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 un linguaggio di programmazione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Risolvere le situazioni di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starvation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Risolvere le situazioni di deadlock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Risolvere i problemi</w:t>
            </w:r>
            <w:r w:rsidR="006247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produttore/consumatore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Risolvere il problema dei filosofi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5E1ECC" w:rsidP="00E1336A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modelli di elaborazione dei processi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ciclo di vita dei processi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di risorsa condivisa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Distinguere le richieste e le modalità di accesso alle risorse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Apprendere l’utilizzo del grafo di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Holt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per descrivere processi e risorse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differenza tra processi e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thread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di programmazione concorrente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6354D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di interazione tra processi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caratteristiche di un linguaggio concorrente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354D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modello ad ambiente globale e locale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l’esigenza di sincronizzazione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354D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il concetto di indivisibilità di una primitiva</w:t>
            </w:r>
            <w:r w:rsidR="00635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regione critica e di mutua esclusione</w:t>
            </w:r>
            <w:r w:rsidR="00635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il software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Cygwin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Compilare i programmi C col compilatore GCC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in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thread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 un linguaggio di programmazione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Risolvere le situazioni di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starvation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Risolvere le situazioni di deadlock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E1336A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6354DA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2712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modelli di elaborazione dei processi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ciclo di vita dei processi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di risorsa condivisa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differenza tra processi e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thread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354D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di programmazione concorrente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6354D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il concetto di interazione tra processi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6354DA" w:rsidRPr="008656A7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caratteristiche di un linguaggio concorrente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il software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Cygwin</w:t>
            </w:r>
            <w:proofErr w:type="spellEnd"/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Compilare i programmi C col compilatore GCC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1336A" w:rsidRPr="00E1336A" w:rsidRDefault="00E1336A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in </w:t>
            </w:r>
            <w:proofErr w:type="spellStart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thread</w:t>
            </w:r>
            <w:proofErr w:type="spellEnd"/>
            <w:r w:rsidRPr="00E13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 un linguaggio di programmazione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Default="008656A7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624711" w:rsidRDefault="00624711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624711" w:rsidRDefault="00624711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624711" w:rsidRDefault="00624711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624711" w:rsidRDefault="00624711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624711" w:rsidRDefault="00624711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624711" w:rsidRPr="00DE1113" w:rsidRDefault="00624711" w:rsidP="00E1336A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6354DA" w:rsidRDefault="006354DA"/>
    <w:p w:rsidR="006354DA" w:rsidRDefault="006354DA"/>
    <w:p w:rsidR="006354DA" w:rsidRDefault="006354DA"/>
    <w:p w:rsidR="006354DA" w:rsidRDefault="006354DA"/>
    <w:p w:rsidR="006354DA" w:rsidRDefault="006354DA"/>
    <w:p w:rsidR="006354DA" w:rsidRDefault="006354DA"/>
    <w:p w:rsidR="006354DA" w:rsidRDefault="006354DA"/>
    <w:p w:rsidR="006354DA" w:rsidRDefault="006354DA"/>
    <w:p w:rsidR="006354DA" w:rsidRDefault="006354DA"/>
    <w:p w:rsidR="006354DA" w:rsidRDefault="006354DA"/>
    <w:p w:rsidR="006354DA" w:rsidRDefault="006354DA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728D2" w:rsidRPr="002160AA" w:rsidTr="001728D2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1728D2" w:rsidRPr="001728D2" w:rsidRDefault="001728D2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3: </w:t>
            </w:r>
            <w:r w:rsidR="00E1336A">
              <w:rPr>
                <w:b/>
                <w:bCs/>
                <w:iCs/>
                <w:caps/>
                <w:sz w:val="22"/>
                <w:szCs w:val="22"/>
              </w:rPr>
              <w:t>SPECIFICHE DEI REQUISITI DI UN PROGETTO</w:t>
            </w:r>
            <w:r w:rsidR="002D3437">
              <w:rPr>
                <w:b/>
                <w:bCs/>
                <w:iCs/>
                <w:caps/>
                <w:sz w:val="22"/>
                <w:szCs w:val="22"/>
              </w:rPr>
              <w:t xml:space="preserve"> – DOCUMENTAZIONE DEL SW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1728D2" w:rsidRPr="001728D2" w:rsidRDefault="006C30F5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B571C3">
              <w:rPr>
                <w:b/>
                <w:bCs/>
                <w:iCs/>
                <w:sz w:val="22"/>
                <w:szCs w:val="22"/>
              </w:rPr>
              <w:t xml:space="preserve">Marzo </w:t>
            </w:r>
            <w:r w:rsidR="001728D2" w:rsidRPr="001728D2">
              <w:rPr>
                <w:b/>
                <w:bCs/>
                <w:iCs/>
                <w:sz w:val="22"/>
                <w:szCs w:val="22"/>
              </w:rPr>
              <w:t xml:space="preserve">- </w:t>
            </w:r>
            <w:r w:rsidR="006834F8">
              <w:rPr>
                <w:b/>
                <w:bCs/>
                <w:iCs/>
                <w:sz w:val="22"/>
                <w:szCs w:val="22"/>
              </w:rPr>
              <w:t>Aprile</w:t>
            </w:r>
          </w:p>
        </w:tc>
      </w:tr>
      <w:tr w:rsidR="001728D2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2D3437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24711" w:rsidRDefault="00624711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i requisiti utente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Individuare i requisiti di sistema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tecniche di esplorazione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gli scenari d’uso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Analizzare il documento di Specifica dei Requisiti Software (SRS) 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la struttura di un SRS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organizzare la documentazione del progetto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Saper definire uno standard di documentazione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formattare il codice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effettuare la documentazione del codice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Saper condividere componenti di un progetto con il team di sviluppo</w:t>
            </w:r>
            <w:r w:rsidR="000F00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977" w:type="dxa"/>
          </w:tcPr>
          <w:p w:rsidR="002D3437" w:rsidRPr="00B91A1C" w:rsidRDefault="002D3437" w:rsidP="002D343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2D3437" w:rsidRPr="00B91A1C" w:rsidRDefault="002D3437" w:rsidP="002D343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l’importanza della fase di analisi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Avere il concetto di requisito utente e di sistema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fase di esplorazione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tecniche di esplorazione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scenario e caso d’uso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le caratteristiche SRS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principi S.O.L.I.D. per definizione delle classi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la necessità di </w:t>
            </w:r>
            <w:r w:rsidR="006247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ocumentare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0F006F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quali sono i documenti necessari in un progetto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documentazione interna ed esterna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0F006F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le modalità per realizzare la documentazione esterna di sistema e utente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0F006F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una tecnica di documentazione del codice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2D3437" w:rsidRPr="008656A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i principali </w:t>
            </w:r>
            <w:proofErr w:type="spellStart"/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tool</w:t>
            </w:r>
            <w:proofErr w:type="spellEnd"/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documentazione automatica del codice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in UML i casi d’uso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in UML il diagramma di contesto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24711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documentare i casi d’uso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Saper compilare il documento di Specifica dei Requisiti Software (SRS)</w:t>
            </w:r>
            <w:r w:rsidR="006247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Validare le specifiche di un SRS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uno strumento di documentazione automatica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Utilizzare uno strumento per effettuare il controllo delle versioni</w:t>
            </w:r>
            <w:r w:rsidR="006247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5E1ECC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2D3437" w:rsidRPr="005E1ECC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2D3437" w:rsidRPr="00B91A1C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2D3437" w:rsidRPr="00B91A1C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2D3437" w:rsidRPr="00B91A1C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2D3437" w:rsidRPr="00B91A1C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2D3437" w:rsidRPr="00B91A1C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Prove pratiche.</w:t>
            </w:r>
          </w:p>
          <w:p w:rsidR="002D3437" w:rsidRPr="00B91A1C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2D3437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2D3437" w:rsidRPr="00B91A1C" w:rsidRDefault="002D3437" w:rsidP="002D343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2D3437" w:rsidRPr="00B91A1C" w:rsidRDefault="002D3437" w:rsidP="002D343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2D3437" w:rsidRPr="00B91A1C" w:rsidRDefault="002D3437" w:rsidP="002D343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l’importanza della fase di analisi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requisito utente e di sistema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fase di esplorazione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tecniche di esplorazione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scenario e caso d’uso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le caratteristiche SRS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principi S.O.L.I.D. per definizione delle classi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la necessità di documentare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0F006F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quali sono i documenti necessari in un progetto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documentazione interna ed esterna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8656A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una tecnica di documentazione del codice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in UML i casi d’uso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in UML il diagramma di contesto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documentare i casi d’uso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Saper compilare il documento di Specifica dei Requisiti Software (SRS)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uno strumento di documentazione automatica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2D3437" w:rsidRPr="005E1ECC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3437" w:rsidRPr="009F5FA3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2D3437" w:rsidRPr="009F5FA3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2D3437" w:rsidRPr="005A46FC" w:rsidTr="0085636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:rsidR="002D3437" w:rsidRPr="00B91A1C" w:rsidRDefault="002D3437" w:rsidP="002D343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2D3437" w:rsidRPr="00B91A1C" w:rsidRDefault="002D3437" w:rsidP="002D343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2D3437" w:rsidRPr="00B91A1C" w:rsidRDefault="002D3437" w:rsidP="002D343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834F8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l’importanza della fase di analisi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requisito utente e di sistema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fase di esplorazione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tecniche di esplorazione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Avere il concetto di scenario e caso d’uso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le caratteristiche SRS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la necessità di documentare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5E1ECC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quali sono i documenti necessari in un progetto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in UML i casi d’uso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in UML il diagramma di contesto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compilare il documento di Specifica dei Requisiti Software (SRS)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856363" w:rsidRDefault="002D3437" w:rsidP="002D34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3437" w:rsidRPr="009F5FA3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2D3437" w:rsidRPr="009F5FA3" w:rsidRDefault="002D3437" w:rsidP="002D343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1728D2" w:rsidRDefault="001728D2"/>
    <w:p w:rsidR="00C8477D" w:rsidRDefault="00C8477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6C30F5" w:rsidRPr="002160AA" w:rsidTr="0031713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6C30F5">
              <w:rPr>
                <w:b/>
                <w:bCs/>
                <w:iCs/>
                <w:caps/>
                <w:sz w:val="22"/>
                <w:szCs w:val="22"/>
              </w:rPr>
              <w:t xml:space="preserve">Modulo 4: </w:t>
            </w:r>
            <w:r w:rsidR="002D3437">
              <w:rPr>
                <w:b/>
                <w:bCs/>
                <w:iCs/>
                <w:caps/>
                <w:sz w:val="22"/>
                <w:szCs w:val="22"/>
              </w:rPr>
              <w:t>SICUREZZA E TUTELA AMBIENTALE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Pr="006C30F5">
              <w:rPr>
                <w:b/>
                <w:bCs/>
                <w:iCs/>
                <w:sz w:val="22"/>
                <w:szCs w:val="22"/>
              </w:rPr>
              <w:t>Maggio</w:t>
            </w:r>
            <w:r w:rsidR="005E1ECC">
              <w:rPr>
                <w:b/>
                <w:bCs/>
                <w:iCs/>
                <w:sz w:val="22"/>
                <w:szCs w:val="22"/>
              </w:rPr>
              <w:t xml:space="preserve"> – Giugno</w:t>
            </w:r>
          </w:p>
        </w:tc>
      </w:tr>
      <w:tr w:rsidR="00C8477D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</w:p>
          <w:p w:rsidR="002D3437" w:rsidRPr="002D3437" w:rsidRDefault="002D3437" w:rsidP="002D3437">
            <w:pPr>
              <w:pStyle w:val="TableParagraph"/>
              <w:rPr>
                <w:bCs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bCs/>
                <w:color w:val="000000"/>
                <w:sz w:val="18"/>
                <w:szCs w:val="18"/>
                <w:lang w:eastAsia="it-IT"/>
              </w:rPr>
              <w:t>Le normative di settore nazionali e comunitarie sulla sicurezza e la tutela ambientale.</w:t>
            </w:r>
          </w:p>
          <w:p w:rsidR="002D3437" w:rsidRPr="002D3437" w:rsidRDefault="002D3437" w:rsidP="002D3437">
            <w:pPr>
              <w:pStyle w:val="TableParagraph"/>
              <w:rPr>
                <w:bCs/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bCs/>
                <w:color w:val="000000"/>
                <w:sz w:val="18"/>
                <w:szCs w:val="18"/>
                <w:lang w:eastAsia="it-IT"/>
              </w:rPr>
              <w:t>Il codice della privacy</w:t>
            </w:r>
            <w:r w:rsidR="006834F8">
              <w:rPr>
                <w:bCs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color w:val="000000"/>
                <w:sz w:val="18"/>
                <w:szCs w:val="18"/>
                <w:lang w:eastAsia="it-IT"/>
              </w:rPr>
              <w:t>Le figure coinvolte nella tutela della privacy</w:t>
            </w:r>
            <w:r w:rsidR="006834F8">
              <w:rPr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color w:val="000000"/>
                <w:sz w:val="18"/>
                <w:szCs w:val="18"/>
                <w:lang w:eastAsia="it-IT"/>
              </w:rPr>
              <w:t>I diritti della persona</w:t>
            </w:r>
            <w:r w:rsidR="006834F8">
              <w:rPr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2D3437" w:rsidRDefault="002D3437" w:rsidP="002D3437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color w:val="000000"/>
                <w:sz w:val="18"/>
                <w:szCs w:val="18"/>
                <w:lang w:eastAsia="it-IT"/>
              </w:rPr>
              <w:t>I dati personali</w:t>
            </w:r>
            <w:r w:rsidR="006834F8">
              <w:rPr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2D3437" w:rsidP="002D3437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  <w:r w:rsidRPr="002D3437">
              <w:rPr>
                <w:color w:val="000000"/>
                <w:sz w:val="18"/>
                <w:szCs w:val="18"/>
                <w:lang w:eastAsia="it-IT"/>
              </w:rPr>
              <w:t>Le norme per il marketing</w:t>
            </w:r>
            <w:r w:rsidR="00680045">
              <w:rPr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normative di settore nazionali e comunitarie sulla sicurezza e la tutela ambientale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indicazioni del codice sulla privacy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figure coinvolte per la gestione della tutela della privacy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diritti di una persona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norme per il telemarketing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834F8" w:rsidRPr="006834F8" w:rsidRDefault="006834F8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individuare le normative sulla sicurezza e tutela ambientale.</w:t>
            </w:r>
          </w:p>
          <w:p w:rsidR="006834F8" w:rsidRPr="006834F8" w:rsidRDefault="006834F8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individuare le figure coinvolte per la gestione della privacy.</w:t>
            </w:r>
          </w:p>
          <w:p w:rsidR="006834F8" w:rsidRPr="006834F8" w:rsidRDefault="006834F8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gestire i dati personali.</w:t>
            </w:r>
          </w:p>
          <w:p w:rsidR="006834F8" w:rsidRPr="006834F8" w:rsidRDefault="006834F8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applicare le norme del telemarketing.</w:t>
            </w:r>
          </w:p>
          <w:p w:rsidR="005E1ECC" w:rsidRPr="006C30F5" w:rsidRDefault="005E1ECC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Interrogazione individuale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Verifica formativa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Test online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Prove pratiche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C8477D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principali normative di settore nazionali e comunitarie sulla sicurezza e la tutela ambientale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indicazioni principali del codice sulla privacy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figure coinvolte per la gestione della tutela della privacy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8477D" w:rsidRPr="008656A7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principali diritti di una persona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individuare le normative sulla sicurezza e tutela ambientale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individuare le figure coinvolte per la gestione della privacy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gestire i dati personali</w:t>
            </w:r>
            <w:r w:rsidR="006834F8"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8477D" w:rsidRPr="006C30F5" w:rsidRDefault="00C8477D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8477D" w:rsidRPr="005A46FC" w:rsidTr="006834F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185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principali normative di settore nazionali e comunitarie sulla sicurezza e la tutela ambientale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8477D" w:rsidRPr="008656A7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principali diritti di una persona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individuare le normative sulla sicurezza e tutela ambientale</w:t>
            </w:r>
            <w:r w:rsid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2D3437" w:rsidRPr="006834F8" w:rsidRDefault="002D3437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834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gestire i dati personali</w:t>
            </w:r>
          </w:p>
          <w:p w:rsidR="00C8477D" w:rsidRPr="006C30F5" w:rsidRDefault="00C8477D" w:rsidP="006834F8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C8477D" w:rsidRDefault="00C8477D" w:rsidP="00EE15AD"/>
    <w:sectPr w:rsidR="00C8477D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48D" w:rsidRDefault="008F648D" w:rsidP="00FB7750">
      <w:pPr>
        <w:spacing w:after="0" w:line="240" w:lineRule="auto"/>
      </w:pPr>
      <w:r>
        <w:separator/>
      </w:r>
    </w:p>
  </w:endnote>
  <w:endnote w:type="continuationSeparator" w:id="0">
    <w:p w:rsidR="008F648D" w:rsidRDefault="008F648D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48D" w:rsidRDefault="008F648D" w:rsidP="00FB7750">
      <w:pPr>
        <w:spacing w:after="0" w:line="240" w:lineRule="auto"/>
      </w:pPr>
      <w:r>
        <w:separator/>
      </w:r>
    </w:p>
  </w:footnote>
  <w:footnote w:type="continuationSeparator" w:id="0">
    <w:p w:rsidR="008F648D" w:rsidRDefault="008F648D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:rsidR="00FB7750" w:rsidRPr="00C02998" w:rsidRDefault="00FB7750" w:rsidP="00FB7750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 w:rsidR="00660420">
            <w:rPr>
              <w:rFonts w:eastAsia="Arial Unicode MS"/>
              <w:b/>
            </w:rPr>
            <w:t>Tecnologia e progettazione di sistemi informatici e delle telecomunicazioni</w:t>
          </w:r>
          <w:r w:rsidR="00F368E6">
            <w:rPr>
              <w:rFonts w:eastAsia="Arial Unicode MS"/>
              <w:b/>
            </w:rPr>
            <w:t xml:space="preserve"> – Classi TERZE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 w:rsidP="00EE15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14234"/>
    <w:multiLevelType w:val="hybridMultilevel"/>
    <w:tmpl w:val="50AAFD24"/>
    <w:lvl w:ilvl="0" w:tplc="FDCE8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552A0"/>
    <w:multiLevelType w:val="hybridMultilevel"/>
    <w:tmpl w:val="1C5A0E9C"/>
    <w:lvl w:ilvl="0" w:tplc="4BD6E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E3DF0"/>
    <w:rsid w:val="000E7EC6"/>
    <w:rsid w:val="000F006F"/>
    <w:rsid w:val="00146669"/>
    <w:rsid w:val="001728D2"/>
    <w:rsid w:val="001D4BF5"/>
    <w:rsid w:val="00296456"/>
    <w:rsid w:val="002A77CD"/>
    <w:rsid w:val="002D3437"/>
    <w:rsid w:val="003E28B5"/>
    <w:rsid w:val="00420DD1"/>
    <w:rsid w:val="00436988"/>
    <w:rsid w:val="00467BE0"/>
    <w:rsid w:val="004A17C4"/>
    <w:rsid w:val="005E1ECC"/>
    <w:rsid w:val="00624711"/>
    <w:rsid w:val="006354DA"/>
    <w:rsid w:val="00660420"/>
    <w:rsid w:val="00680045"/>
    <w:rsid w:val="006834F8"/>
    <w:rsid w:val="006C30F5"/>
    <w:rsid w:val="008130CB"/>
    <w:rsid w:val="0082067C"/>
    <w:rsid w:val="00821AB8"/>
    <w:rsid w:val="00856363"/>
    <w:rsid w:val="008656A7"/>
    <w:rsid w:val="008806ED"/>
    <w:rsid w:val="008A6244"/>
    <w:rsid w:val="008F5E28"/>
    <w:rsid w:val="008F648D"/>
    <w:rsid w:val="00942DC3"/>
    <w:rsid w:val="009526F1"/>
    <w:rsid w:val="009C3DEE"/>
    <w:rsid w:val="009D7D8F"/>
    <w:rsid w:val="009F5FA3"/>
    <w:rsid w:val="00A3015E"/>
    <w:rsid w:val="00A42796"/>
    <w:rsid w:val="00A95F75"/>
    <w:rsid w:val="00AB5478"/>
    <w:rsid w:val="00AF78C0"/>
    <w:rsid w:val="00B37BB7"/>
    <w:rsid w:val="00B571C3"/>
    <w:rsid w:val="00B91A1C"/>
    <w:rsid w:val="00B947E9"/>
    <w:rsid w:val="00BD7D4F"/>
    <w:rsid w:val="00C57345"/>
    <w:rsid w:val="00C57E84"/>
    <w:rsid w:val="00C72792"/>
    <w:rsid w:val="00C8477D"/>
    <w:rsid w:val="00D540FB"/>
    <w:rsid w:val="00DE1113"/>
    <w:rsid w:val="00E1336A"/>
    <w:rsid w:val="00E345DF"/>
    <w:rsid w:val="00E546CB"/>
    <w:rsid w:val="00E83ADB"/>
    <w:rsid w:val="00EB4D4A"/>
    <w:rsid w:val="00EE15AD"/>
    <w:rsid w:val="00F03071"/>
    <w:rsid w:val="00F07A8D"/>
    <w:rsid w:val="00F10907"/>
    <w:rsid w:val="00F2660D"/>
    <w:rsid w:val="00F368E6"/>
    <w:rsid w:val="00FB7750"/>
    <w:rsid w:val="00FD03F6"/>
    <w:rsid w:val="00FE5443"/>
    <w:rsid w:val="00FE5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9A1C8"/>
  <w15:docId w15:val="{1F0847E1-7D50-4193-BC4B-BF4A7D30F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03F6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8E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95F7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95F75"/>
  </w:style>
  <w:style w:type="paragraph" w:customStyle="1" w:styleId="TableParagraph">
    <w:name w:val="Table Paragraph"/>
    <w:basedOn w:val="Normale"/>
    <w:uiPriority w:val="1"/>
    <w:qFormat/>
    <w:rsid w:val="005E1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E1E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2063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6</cp:revision>
  <dcterms:created xsi:type="dcterms:W3CDTF">2022-10-15T21:39:00Z</dcterms:created>
  <dcterms:modified xsi:type="dcterms:W3CDTF">2022-10-24T13:59:00Z</dcterms:modified>
</cp:coreProperties>
</file>