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21CC" w:rsidRDefault="000D21CC" w:rsidP="001753D3">
      <w:pPr>
        <w:spacing w:after="0" w:line="240" w:lineRule="auto"/>
        <w:jc w:val="both"/>
        <w:rPr>
          <w:rFonts w:ascii="Times New Roman" w:hAnsi="Times New Roman"/>
          <w:b/>
          <w:bCs/>
          <w:sz w:val="16"/>
          <w:szCs w:val="16"/>
        </w:rPr>
      </w:pPr>
      <w:r>
        <w:rPr>
          <w:rFonts w:ascii="Times New Roman" w:hAnsi="Times New Roman"/>
          <w:b/>
          <w:bCs/>
          <w:sz w:val="16"/>
          <w:szCs w:val="16"/>
        </w:rPr>
        <w:t>6.1. Stima dell’indennità di esproprio e di occupazione</w:t>
      </w:r>
    </w:p>
    <w:p w:rsidR="001753D3" w:rsidRDefault="000D21CC" w:rsidP="001753D3">
      <w:pPr>
        <w:spacing w:after="0" w:line="240" w:lineRule="auto"/>
        <w:jc w:val="both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/>
          <w:bCs/>
          <w:sz w:val="16"/>
          <w:szCs w:val="16"/>
        </w:rPr>
        <w:t xml:space="preserve">La stima viene fatta sulla base della </w:t>
      </w:r>
      <w:r w:rsidR="001753D3" w:rsidRPr="008A2A8C">
        <w:rPr>
          <w:rFonts w:ascii="Times New Roman" w:hAnsi="Times New Roman"/>
          <w:b/>
          <w:bCs/>
          <w:sz w:val="16"/>
          <w:szCs w:val="16"/>
        </w:rPr>
        <w:t xml:space="preserve">Sentenza 181 del 10 giugno 2011 della Corte </w:t>
      </w:r>
      <w:proofErr w:type="gramStart"/>
      <w:r w:rsidR="001753D3" w:rsidRPr="008A2A8C">
        <w:rPr>
          <w:rFonts w:ascii="Times New Roman" w:hAnsi="Times New Roman"/>
          <w:b/>
          <w:bCs/>
          <w:sz w:val="16"/>
          <w:szCs w:val="16"/>
        </w:rPr>
        <w:t xml:space="preserve">Costituzionale, </w:t>
      </w:r>
      <w:r>
        <w:rPr>
          <w:rFonts w:ascii="Times New Roman" w:hAnsi="Times New Roman"/>
          <w:sz w:val="16"/>
          <w:szCs w:val="16"/>
        </w:rPr>
        <w:t xml:space="preserve"> </w:t>
      </w:r>
      <w:r w:rsidR="001753D3" w:rsidRPr="008A2A8C">
        <w:rPr>
          <w:rFonts w:ascii="Times New Roman" w:hAnsi="Times New Roman"/>
          <w:bCs/>
          <w:sz w:val="16"/>
          <w:szCs w:val="16"/>
        </w:rPr>
        <w:t>L’indennità</w:t>
      </w:r>
      <w:proofErr w:type="gramEnd"/>
      <w:r w:rsidR="001753D3" w:rsidRPr="008A2A8C">
        <w:rPr>
          <w:rFonts w:ascii="Times New Roman" w:hAnsi="Times New Roman"/>
          <w:bCs/>
          <w:sz w:val="16"/>
          <w:szCs w:val="16"/>
        </w:rPr>
        <w:t xml:space="preserve"> di esproprio dei terreni agricoli </w:t>
      </w:r>
      <w:r>
        <w:rPr>
          <w:rFonts w:ascii="Times New Roman" w:hAnsi="Times New Roman"/>
          <w:bCs/>
          <w:sz w:val="16"/>
          <w:szCs w:val="16"/>
        </w:rPr>
        <w:t xml:space="preserve">è </w:t>
      </w:r>
      <w:r w:rsidR="001753D3" w:rsidRPr="008A2A8C">
        <w:rPr>
          <w:rFonts w:ascii="Times New Roman" w:hAnsi="Times New Roman"/>
          <w:bCs/>
          <w:sz w:val="16"/>
          <w:szCs w:val="16"/>
        </w:rPr>
        <w:t xml:space="preserve"> pari al valore di mercato degli stessi. Si definiscono terreni agricoli quei terreni in relazione ai quali il </w:t>
      </w:r>
      <w:proofErr w:type="spellStart"/>
      <w:r w:rsidR="001753D3" w:rsidRPr="008A2A8C">
        <w:rPr>
          <w:rFonts w:ascii="Times New Roman" w:hAnsi="Times New Roman"/>
          <w:bCs/>
          <w:sz w:val="16"/>
          <w:szCs w:val="16"/>
        </w:rPr>
        <w:t>P.r.g.</w:t>
      </w:r>
      <w:proofErr w:type="spellEnd"/>
      <w:r w:rsidR="001753D3" w:rsidRPr="008A2A8C">
        <w:rPr>
          <w:rFonts w:ascii="Times New Roman" w:hAnsi="Times New Roman"/>
          <w:bCs/>
          <w:sz w:val="16"/>
          <w:szCs w:val="16"/>
        </w:rPr>
        <w:t xml:space="preserve"> non preveda possibilità di edificazione.</w:t>
      </w:r>
      <w:r w:rsidR="001753D3">
        <w:rPr>
          <w:rFonts w:ascii="Times New Roman" w:hAnsi="Times New Roman"/>
          <w:bCs/>
          <w:sz w:val="16"/>
          <w:szCs w:val="16"/>
        </w:rPr>
        <w:t xml:space="preserve"> La Corte costituzionale </w:t>
      </w:r>
      <w:r w:rsidR="001753D3" w:rsidRPr="008A2A8C">
        <w:rPr>
          <w:rFonts w:ascii="Times New Roman" w:hAnsi="Times New Roman"/>
          <w:bCs/>
          <w:sz w:val="16"/>
          <w:szCs w:val="16"/>
        </w:rPr>
        <w:t xml:space="preserve">con la sentenza n. 181 del 2011 ha dichiarato la illegittimità costituzionale di ogni norma che faceva riferimento ai </w:t>
      </w:r>
      <w:proofErr w:type="spellStart"/>
      <w:r w:rsidR="001753D3" w:rsidRPr="008A2A8C">
        <w:rPr>
          <w:rFonts w:ascii="Times New Roman" w:hAnsi="Times New Roman"/>
          <w:bCs/>
          <w:sz w:val="16"/>
          <w:szCs w:val="16"/>
        </w:rPr>
        <w:t>Vam</w:t>
      </w:r>
      <w:proofErr w:type="spellEnd"/>
      <w:r w:rsidR="001753D3" w:rsidRPr="008A2A8C">
        <w:rPr>
          <w:rFonts w:ascii="Times New Roman" w:hAnsi="Times New Roman"/>
          <w:bCs/>
          <w:sz w:val="16"/>
          <w:szCs w:val="16"/>
        </w:rPr>
        <w:t>, sancendo definitivamente che il valore di esproprio dei terreni agricoli, così come già quello dei terreni edificabili, deve corrispondere al valore di mercato del bene.</w:t>
      </w:r>
    </w:p>
    <w:p w:rsidR="00385928" w:rsidRDefault="00385928" w:rsidP="001753D3">
      <w:pPr>
        <w:spacing w:after="0" w:line="240" w:lineRule="auto"/>
        <w:jc w:val="both"/>
        <w:rPr>
          <w:rFonts w:ascii="Times New Roman" w:hAnsi="Times New Roman"/>
          <w:bCs/>
          <w:sz w:val="16"/>
          <w:szCs w:val="16"/>
        </w:rPr>
      </w:pPr>
    </w:p>
    <w:p w:rsidR="00385928" w:rsidRDefault="00385928" w:rsidP="001753D3">
      <w:pPr>
        <w:spacing w:after="0" w:line="240" w:lineRule="auto"/>
        <w:jc w:val="both"/>
        <w:rPr>
          <w:rFonts w:ascii="Times New Roman" w:hAnsi="Times New Roman"/>
          <w:bCs/>
          <w:sz w:val="16"/>
          <w:szCs w:val="1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794"/>
        <w:gridCol w:w="2126"/>
        <w:gridCol w:w="2126"/>
      </w:tblGrid>
      <w:tr w:rsidR="00385928" w:rsidRPr="00385928" w:rsidTr="00F25572">
        <w:tc>
          <w:tcPr>
            <w:tcW w:w="3794" w:type="dxa"/>
          </w:tcPr>
          <w:p w:rsidR="00385928" w:rsidRPr="00385928" w:rsidRDefault="00385928" w:rsidP="001753D3">
            <w:pPr>
              <w:jc w:val="both"/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it-IT"/>
              </w:rPr>
            </w:pPr>
            <w:r w:rsidRPr="00385928"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it-IT"/>
              </w:rPr>
              <w:t>PARAMETRO</w:t>
            </w:r>
          </w:p>
        </w:tc>
        <w:tc>
          <w:tcPr>
            <w:tcW w:w="2126" w:type="dxa"/>
          </w:tcPr>
          <w:p w:rsidR="00385928" w:rsidRPr="00385928" w:rsidRDefault="00385928" w:rsidP="001753D3">
            <w:pPr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85928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UNITA’ </w:t>
            </w:r>
            <w:proofErr w:type="gramStart"/>
            <w:r w:rsidRPr="00385928">
              <w:rPr>
                <w:rFonts w:ascii="Times New Roman" w:hAnsi="Times New Roman"/>
                <w:b/>
                <w:bCs/>
                <w:sz w:val="16"/>
                <w:szCs w:val="16"/>
              </w:rPr>
              <w:t>DI  MISURA</w:t>
            </w:r>
            <w:proofErr w:type="gramEnd"/>
          </w:p>
        </w:tc>
        <w:tc>
          <w:tcPr>
            <w:tcW w:w="2126" w:type="dxa"/>
          </w:tcPr>
          <w:p w:rsidR="00385928" w:rsidRPr="00385928" w:rsidRDefault="00385928" w:rsidP="001753D3">
            <w:pPr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85928">
              <w:rPr>
                <w:rFonts w:ascii="Times New Roman" w:hAnsi="Times New Roman"/>
                <w:b/>
                <w:bCs/>
                <w:sz w:val="16"/>
                <w:szCs w:val="16"/>
              </w:rPr>
              <w:t>Inserire dato</w:t>
            </w:r>
          </w:p>
        </w:tc>
      </w:tr>
      <w:tr w:rsidR="00385928" w:rsidTr="00F25572">
        <w:tc>
          <w:tcPr>
            <w:tcW w:w="3794" w:type="dxa"/>
          </w:tcPr>
          <w:p w:rsidR="00385928" w:rsidRPr="00385928" w:rsidRDefault="00385928" w:rsidP="00385928">
            <w:pPr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385928">
              <w:rPr>
                <w:rFonts w:ascii="Arial" w:eastAsia="Times New Roman" w:hAnsi="Arial" w:cs="Arial"/>
                <w:i/>
                <w:sz w:val="18"/>
                <w:szCs w:val="18"/>
                <w:lang w:eastAsia="it-IT"/>
              </w:rPr>
              <w:t xml:space="preserve">Area espropriata edificabile  </w:t>
            </w:r>
          </w:p>
        </w:tc>
        <w:tc>
          <w:tcPr>
            <w:tcW w:w="2126" w:type="dxa"/>
          </w:tcPr>
          <w:p w:rsidR="00385928" w:rsidRDefault="00385928" w:rsidP="001753D3">
            <w:pPr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385928">
              <w:rPr>
                <w:rFonts w:ascii="Arial" w:eastAsia="Times New Roman" w:hAnsi="Arial" w:cs="Arial"/>
                <w:i/>
                <w:sz w:val="18"/>
                <w:szCs w:val="18"/>
                <w:lang w:eastAsia="it-IT"/>
              </w:rPr>
              <w:t>Mq</w:t>
            </w:r>
          </w:p>
        </w:tc>
        <w:tc>
          <w:tcPr>
            <w:tcW w:w="2126" w:type="dxa"/>
          </w:tcPr>
          <w:p w:rsidR="00385928" w:rsidRDefault="00385928" w:rsidP="001753D3">
            <w:pPr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385928" w:rsidTr="00F25572">
        <w:tc>
          <w:tcPr>
            <w:tcW w:w="3794" w:type="dxa"/>
          </w:tcPr>
          <w:p w:rsidR="00385928" w:rsidRPr="00385928" w:rsidRDefault="00385928" w:rsidP="00385928">
            <w:pPr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385928">
              <w:rPr>
                <w:rFonts w:ascii="Arial" w:eastAsia="Times New Roman" w:hAnsi="Arial" w:cs="Arial"/>
                <w:i/>
                <w:sz w:val="18"/>
                <w:szCs w:val="18"/>
                <w:lang w:eastAsia="it-IT"/>
              </w:rPr>
              <w:t xml:space="preserve">Area espropriata agricola  </w:t>
            </w:r>
          </w:p>
        </w:tc>
        <w:tc>
          <w:tcPr>
            <w:tcW w:w="2126" w:type="dxa"/>
          </w:tcPr>
          <w:p w:rsidR="00385928" w:rsidRDefault="00385928" w:rsidP="001753D3">
            <w:pPr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385928">
              <w:rPr>
                <w:rFonts w:ascii="Arial" w:eastAsia="Times New Roman" w:hAnsi="Arial" w:cs="Arial"/>
                <w:i/>
                <w:sz w:val="18"/>
                <w:szCs w:val="18"/>
                <w:lang w:eastAsia="it-IT"/>
              </w:rPr>
              <w:t>Mq</w:t>
            </w:r>
          </w:p>
        </w:tc>
        <w:tc>
          <w:tcPr>
            <w:tcW w:w="2126" w:type="dxa"/>
          </w:tcPr>
          <w:p w:rsidR="00385928" w:rsidRDefault="00385928" w:rsidP="001753D3">
            <w:pPr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385928" w:rsidTr="00F25572">
        <w:tc>
          <w:tcPr>
            <w:tcW w:w="3794" w:type="dxa"/>
          </w:tcPr>
          <w:p w:rsidR="00385928" w:rsidRPr="00385928" w:rsidRDefault="00385928" w:rsidP="001753D3">
            <w:pPr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385928">
              <w:rPr>
                <w:rFonts w:ascii="Arial" w:hAnsi="Arial" w:cs="Arial"/>
                <w:i/>
                <w:sz w:val="18"/>
                <w:szCs w:val="18"/>
              </w:rPr>
              <w:t>Manufatti presenti sull’area espropriata</w:t>
            </w:r>
          </w:p>
        </w:tc>
        <w:tc>
          <w:tcPr>
            <w:tcW w:w="2126" w:type="dxa"/>
          </w:tcPr>
          <w:p w:rsidR="00385928" w:rsidRDefault="00385928" w:rsidP="001753D3">
            <w:pPr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385928">
              <w:rPr>
                <w:rFonts w:ascii="Arial" w:eastAsia="Times New Roman" w:hAnsi="Arial" w:cs="Arial"/>
                <w:i/>
                <w:sz w:val="18"/>
                <w:szCs w:val="18"/>
                <w:lang w:eastAsia="it-IT"/>
              </w:rPr>
              <w:t>Mq</w:t>
            </w:r>
          </w:p>
        </w:tc>
        <w:tc>
          <w:tcPr>
            <w:tcW w:w="2126" w:type="dxa"/>
          </w:tcPr>
          <w:p w:rsidR="00385928" w:rsidRDefault="00385928" w:rsidP="001753D3">
            <w:pPr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385928" w:rsidTr="00F25572">
        <w:tc>
          <w:tcPr>
            <w:tcW w:w="3794" w:type="dxa"/>
          </w:tcPr>
          <w:p w:rsidR="00385928" w:rsidRPr="00385928" w:rsidRDefault="00385928" w:rsidP="001753D3">
            <w:pPr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385928">
              <w:rPr>
                <w:rFonts w:ascii="Arial" w:hAnsi="Arial" w:cs="Arial"/>
                <w:i/>
                <w:sz w:val="18"/>
                <w:szCs w:val="18"/>
              </w:rPr>
              <w:t>Area agricola limitrofa occupata</w:t>
            </w:r>
          </w:p>
        </w:tc>
        <w:tc>
          <w:tcPr>
            <w:tcW w:w="2126" w:type="dxa"/>
          </w:tcPr>
          <w:p w:rsidR="00385928" w:rsidRDefault="00385928" w:rsidP="001753D3">
            <w:pPr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385928">
              <w:rPr>
                <w:rFonts w:ascii="Arial" w:eastAsia="Times New Roman" w:hAnsi="Arial" w:cs="Arial"/>
                <w:i/>
                <w:sz w:val="18"/>
                <w:szCs w:val="18"/>
                <w:lang w:eastAsia="it-IT"/>
              </w:rPr>
              <w:t>Mq</w:t>
            </w:r>
          </w:p>
        </w:tc>
        <w:tc>
          <w:tcPr>
            <w:tcW w:w="2126" w:type="dxa"/>
          </w:tcPr>
          <w:p w:rsidR="00385928" w:rsidRDefault="00385928" w:rsidP="001753D3">
            <w:pPr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385928" w:rsidTr="00F25572">
        <w:tc>
          <w:tcPr>
            <w:tcW w:w="3794" w:type="dxa"/>
          </w:tcPr>
          <w:p w:rsidR="00385928" w:rsidRPr="00385928" w:rsidRDefault="00385928" w:rsidP="001753D3">
            <w:pPr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385928">
              <w:rPr>
                <w:rFonts w:ascii="Arial" w:hAnsi="Arial" w:cs="Arial"/>
                <w:i/>
                <w:sz w:val="18"/>
                <w:szCs w:val="18"/>
              </w:rPr>
              <w:t>Periodo di occupazione mesi</w:t>
            </w:r>
          </w:p>
        </w:tc>
        <w:tc>
          <w:tcPr>
            <w:tcW w:w="2126" w:type="dxa"/>
          </w:tcPr>
          <w:p w:rsidR="00385928" w:rsidRDefault="00385928" w:rsidP="001753D3">
            <w:pPr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proofErr w:type="gramStart"/>
            <w:r w:rsidRPr="00385928">
              <w:rPr>
                <w:rFonts w:ascii="Arial" w:eastAsia="Times New Roman" w:hAnsi="Arial" w:cs="Arial"/>
                <w:i/>
                <w:sz w:val="18"/>
                <w:szCs w:val="18"/>
                <w:lang w:eastAsia="it-IT"/>
              </w:rPr>
              <w:t>mesi</w:t>
            </w:r>
            <w:proofErr w:type="gramEnd"/>
          </w:p>
        </w:tc>
        <w:tc>
          <w:tcPr>
            <w:tcW w:w="2126" w:type="dxa"/>
          </w:tcPr>
          <w:p w:rsidR="00385928" w:rsidRDefault="00385928" w:rsidP="001753D3">
            <w:pPr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</w:tbl>
    <w:p w:rsidR="00385928" w:rsidRDefault="00385928" w:rsidP="001753D3">
      <w:pPr>
        <w:spacing w:after="0" w:line="240" w:lineRule="auto"/>
        <w:jc w:val="both"/>
        <w:rPr>
          <w:rFonts w:ascii="Times New Roman" w:hAnsi="Times New Roman"/>
          <w:bCs/>
          <w:sz w:val="16"/>
          <w:szCs w:val="16"/>
        </w:rPr>
      </w:pPr>
    </w:p>
    <w:tbl>
      <w:tblPr>
        <w:tblpPr w:leftFromText="141" w:rightFromText="141" w:vertAnchor="text" w:horzAnchor="margin" w:tblpY="3"/>
        <w:tblOverlap w:val="never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993"/>
        <w:gridCol w:w="1417"/>
        <w:gridCol w:w="992"/>
        <w:gridCol w:w="851"/>
        <w:gridCol w:w="1417"/>
        <w:gridCol w:w="1418"/>
        <w:gridCol w:w="1701"/>
        <w:gridCol w:w="1134"/>
        <w:gridCol w:w="1134"/>
        <w:gridCol w:w="2977"/>
      </w:tblGrid>
      <w:tr w:rsidR="00385928" w:rsidRPr="001753D3" w:rsidTr="00385928">
        <w:trPr>
          <w:trHeight w:val="276"/>
        </w:trPr>
        <w:tc>
          <w:tcPr>
            <w:tcW w:w="1242" w:type="dxa"/>
          </w:tcPr>
          <w:p w:rsidR="00385928" w:rsidRPr="001753D3" w:rsidRDefault="00385928" w:rsidP="003859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sz w:val="18"/>
                <w:szCs w:val="18"/>
                <w:lang w:eastAsia="it-IT"/>
              </w:rPr>
            </w:pPr>
            <w:r w:rsidRPr="001753D3"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it-IT"/>
              </w:rPr>
              <w:t xml:space="preserve">Area espropriata </w:t>
            </w:r>
            <w:proofErr w:type="gramStart"/>
            <w:r w:rsidRPr="001753D3"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it-IT"/>
              </w:rPr>
              <w:t>edificabile  mq</w:t>
            </w:r>
            <w:proofErr w:type="gramEnd"/>
          </w:p>
        </w:tc>
        <w:tc>
          <w:tcPr>
            <w:tcW w:w="993" w:type="dxa"/>
          </w:tcPr>
          <w:p w:rsidR="00385928" w:rsidRPr="001753D3" w:rsidRDefault="00385928" w:rsidP="003859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it-IT"/>
              </w:rPr>
            </w:pPr>
            <w:r w:rsidRPr="001753D3"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it-IT"/>
              </w:rPr>
              <w:t>Valore venale dell’area</w:t>
            </w:r>
          </w:p>
        </w:tc>
        <w:tc>
          <w:tcPr>
            <w:tcW w:w="1417" w:type="dxa"/>
          </w:tcPr>
          <w:p w:rsidR="00385928" w:rsidRPr="001753D3" w:rsidRDefault="00385928" w:rsidP="003859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sz w:val="18"/>
                <w:szCs w:val="18"/>
                <w:lang w:eastAsia="it-IT"/>
              </w:rPr>
            </w:pPr>
            <w:r w:rsidRPr="001753D3"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it-IT"/>
              </w:rPr>
              <w:t xml:space="preserve">Area espropriata </w:t>
            </w:r>
            <w:proofErr w:type="gramStart"/>
            <w:r w:rsidRPr="001753D3"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it-IT"/>
              </w:rPr>
              <w:t>agricola  mq</w:t>
            </w:r>
            <w:proofErr w:type="gramEnd"/>
          </w:p>
        </w:tc>
        <w:tc>
          <w:tcPr>
            <w:tcW w:w="992" w:type="dxa"/>
          </w:tcPr>
          <w:p w:rsidR="00385928" w:rsidRPr="001753D3" w:rsidRDefault="00385928" w:rsidP="003859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it-IT"/>
              </w:rPr>
            </w:pPr>
            <w:r w:rsidRPr="001753D3"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it-IT"/>
              </w:rPr>
              <w:t>Valore venale dell’area</w:t>
            </w:r>
          </w:p>
        </w:tc>
        <w:tc>
          <w:tcPr>
            <w:tcW w:w="851" w:type="dxa"/>
          </w:tcPr>
          <w:p w:rsidR="00385928" w:rsidRPr="001753D3" w:rsidRDefault="00385928" w:rsidP="003859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it-IT"/>
              </w:rPr>
            </w:pPr>
            <w:r w:rsidRPr="001753D3">
              <w:rPr>
                <w:rFonts w:ascii="Arial" w:hAnsi="Arial" w:cs="Arial"/>
                <w:b/>
                <w:i/>
                <w:sz w:val="18"/>
                <w:szCs w:val="18"/>
              </w:rPr>
              <w:t>V.A.M.</w:t>
            </w:r>
          </w:p>
        </w:tc>
        <w:tc>
          <w:tcPr>
            <w:tcW w:w="1417" w:type="dxa"/>
          </w:tcPr>
          <w:p w:rsidR="00385928" w:rsidRPr="001753D3" w:rsidRDefault="00385928" w:rsidP="00385928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753D3">
              <w:rPr>
                <w:rFonts w:ascii="Arial" w:hAnsi="Arial" w:cs="Arial"/>
                <w:b/>
                <w:i/>
                <w:sz w:val="18"/>
                <w:szCs w:val="18"/>
              </w:rPr>
              <w:t>Manufatti presenti sull’area espropriata</w:t>
            </w:r>
          </w:p>
        </w:tc>
        <w:tc>
          <w:tcPr>
            <w:tcW w:w="1418" w:type="dxa"/>
          </w:tcPr>
          <w:p w:rsidR="00385928" w:rsidRPr="001753D3" w:rsidRDefault="00385928" w:rsidP="00385928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753D3">
              <w:rPr>
                <w:rFonts w:ascii="Arial" w:hAnsi="Arial" w:cs="Arial"/>
                <w:b/>
                <w:i/>
                <w:sz w:val="18"/>
                <w:szCs w:val="18"/>
              </w:rPr>
              <w:t>Valore dei manufatti</w:t>
            </w:r>
          </w:p>
        </w:tc>
        <w:tc>
          <w:tcPr>
            <w:tcW w:w="1701" w:type="dxa"/>
          </w:tcPr>
          <w:p w:rsidR="00385928" w:rsidRPr="001753D3" w:rsidRDefault="00385928" w:rsidP="003859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sz w:val="18"/>
                <w:szCs w:val="18"/>
                <w:lang w:eastAsia="it-IT"/>
              </w:rPr>
            </w:pPr>
            <w:r w:rsidRPr="001753D3">
              <w:rPr>
                <w:rFonts w:ascii="Arial" w:hAnsi="Arial" w:cs="Arial"/>
                <w:b/>
                <w:i/>
                <w:sz w:val="18"/>
                <w:szCs w:val="18"/>
              </w:rPr>
              <w:t>Area agricola limitrofa occupata</w:t>
            </w:r>
          </w:p>
        </w:tc>
        <w:tc>
          <w:tcPr>
            <w:tcW w:w="1134" w:type="dxa"/>
          </w:tcPr>
          <w:p w:rsidR="00385928" w:rsidRPr="001753D3" w:rsidRDefault="00385928" w:rsidP="003859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sz w:val="18"/>
                <w:szCs w:val="18"/>
                <w:lang w:eastAsia="it-IT"/>
              </w:rPr>
            </w:pPr>
            <w:r w:rsidRPr="001753D3">
              <w:rPr>
                <w:rFonts w:ascii="Arial" w:hAnsi="Arial" w:cs="Arial"/>
                <w:b/>
                <w:i/>
                <w:sz w:val="18"/>
                <w:szCs w:val="18"/>
              </w:rPr>
              <w:t>Periodo di occupazione mesi</w:t>
            </w:r>
          </w:p>
        </w:tc>
        <w:tc>
          <w:tcPr>
            <w:tcW w:w="1134" w:type="dxa"/>
          </w:tcPr>
          <w:p w:rsidR="00385928" w:rsidRPr="001753D3" w:rsidRDefault="00385928" w:rsidP="00385928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Calcolo indennità di occupazione</w:t>
            </w:r>
          </w:p>
        </w:tc>
        <w:tc>
          <w:tcPr>
            <w:tcW w:w="2977" w:type="dxa"/>
          </w:tcPr>
          <w:p w:rsidR="00385928" w:rsidRPr="001753D3" w:rsidRDefault="00385928" w:rsidP="00385928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Calcolo </w:t>
            </w:r>
            <w:r w:rsidRPr="001753D3">
              <w:rPr>
                <w:rFonts w:ascii="Arial" w:hAnsi="Arial" w:cs="Arial"/>
                <w:b/>
                <w:i/>
                <w:sz w:val="18"/>
                <w:szCs w:val="18"/>
              </w:rPr>
              <w:t xml:space="preserve">Indennità di esproprio sulla base </w:t>
            </w:r>
            <w:proofErr w:type="gramStart"/>
            <w:r w:rsidRPr="001753D3">
              <w:rPr>
                <w:rFonts w:ascii="Arial" w:hAnsi="Arial" w:cs="Arial"/>
                <w:b/>
                <w:i/>
                <w:sz w:val="18"/>
                <w:szCs w:val="18"/>
              </w:rPr>
              <w:t>del  Testo</w:t>
            </w:r>
            <w:proofErr w:type="gramEnd"/>
            <w:r w:rsidRPr="001753D3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unico  D.P.R. 327/01 del 08.06.2001  Sentenza 181 del 10 giugno 2011 della Corte Costituzionale  </w:t>
            </w:r>
          </w:p>
        </w:tc>
      </w:tr>
      <w:tr w:rsidR="00385928" w:rsidRPr="001753D3" w:rsidTr="00385928">
        <w:trPr>
          <w:trHeight w:val="56"/>
        </w:trPr>
        <w:tc>
          <w:tcPr>
            <w:tcW w:w="1242" w:type="dxa"/>
          </w:tcPr>
          <w:p w:rsidR="00385928" w:rsidRPr="001753D3" w:rsidRDefault="00385928" w:rsidP="0038592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it-IT"/>
              </w:rPr>
            </w:pPr>
            <w:r>
              <w:rPr>
                <w:rFonts w:ascii="Times New Roman" w:hAnsi="Times New Roman"/>
                <w:sz w:val="18"/>
                <w:szCs w:val="18"/>
                <w:lang w:eastAsia="it-IT"/>
              </w:rPr>
              <w:t>Inserire i mq oggetto di esproprio</w:t>
            </w:r>
          </w:p>
        </w:tc>
        <w:tc>
          <w:tcPr>
            <w:tcW w:w="993" w:type="dxa"/>
          </w:tcPr>
          <w:p w:rsidR="00385928" w:rsidRPr="001753D3" w:rsidRDefault="00385928" w:rsidP="0038592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it-IT"/>
              </w:rPr>
            </w:pPr>
            <w:r>
              <w:rPr>
                <w:rFonts w:ascii="Times New Roman" w:hAnsi="Times New Roman"/>
                <w:sz w:val="18"/>
                <w:szCs w:val="18"/>
                <w:lang w:eastAsia="it-IT"/>
              </w:rPr>
              <w:t xml:space="preserve">50 – 100 -200 </w:t>
            </w:r>
            <w:r w:rsidRPr="001753D3">
              <w:rPr>
                <w:rFonts w:ascii="Times New Roman" w:hAnsi="Times New Roman"/>
                <w:sz w:val="18"/>
                <w:szCs w:val="18"/>
                <w:lang w:eastAsia="it-IT"/>
              </w:rPr>
              <w:t>€/mq</w:t>
            </w:r>
          </w:p>
        </w:tc>
        <w:tc>
          <w:tcPr>
            <w:tcW w:w="1417" w:type="dxa"/>
          </w:tcPr>
          <w:p w:rsidR="00385928" w:rsidRPr="001753D3" w:rsidRDefault="00385928" w:rsidP="0038592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it-IT"/>
              </w:rPr>
            </w:pPr>
            <w:r>
              <w:rPr>
                <w:rFonts w:ascii="Times New Roman" w:hAnsi="Times New Roman"/>
                <w:sz w:val="18"/>
                <w:szCs w:val="18"/>
                <w:lang w:eastAsia="it-IT"/>
              </w:rPr>
              <w:t>Inserire i mq oggetto di esproprio</w:t>
            </w:r>
          </w:p>
        </w:tc>
        <w:tc>
          <w:tcPr>
            <w:tcW w:w="992" w:type="dxa"/>
          </w:tcPr>
          <w:p w:rsidR="00385928" w:rsidRDefault="00385928" w:rsidP="0038592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it-IT"/>
              </w:rPr>
            </w:pPr>
            <w:r w:rsidRPr="001753D3">
              <w:rPr>
                <w:rFonts w:ascii="Times New Roman" w:hAnsi="Times New Roman"/>
                <w:sz w:val="18"/>
                <w:szCs w:val="18"/>
                <w:lang w:eastAsia="it-IT"/>
              </w:rPr>
              <w:t>5</w:t>
            </w:r>
            <w:r>
              <w:rPr>
                <w:rFonts w:ascii="Times New Roman" w:hAnsi="Times New Roman"/>
                <w:sz w:val="18"/>
                <w:szCs w:val="18"/>
                <w:lang w:eastAsia="it-IT"/>
              </w:rPr>
              <w:t xml:space="preserve"> – 10 -20</w:t>
            </w:r>
          </w:p>
          <w:p w:rsidR="00385928" w:rsidRPr="001753D3" w:rsidRDefault="00385928" w:rsidP="0038592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it-IT"/>
              </w:rPr>
            </w:pPr>
            <w:r w:rsidRPr="001753D3">
              <w:rPr>
                <w:rFonts w:ascii="Times New Roman" w:hAnsi="Times New Roman"/>
                <w:sz w:val="18"/>
                <w:szCs w:val="18"/>
                <w:lang w:eastAsia="it-IT"/>
              </w:rPr>
              <w:t xml:space="preserve"> €/mq</w:t>
            </w:r>
          </w:p>
        </w:tc>
        <w:tc>
          <w:tcPr>
            <w:tcW w:w="851" w:type="dxa"/>
          </w:tcPr>
          <w:p w:rsidR="00385928" w:rsidRDefault="00385928" w:rsidP="0038592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it-IT"/>
              </w:rPr>
            </w:pPr>
            <w:r>
              <w:rPr>
                <w:rFonts w:ascii="Times New Roman" w:hAnsi="Times New Roman"/>
                <w:sz w:val="18"/>
                <w:szCs w:val="18"/>
                <w:lang w:eastAsia="it-IT"/>
              </w:rPr>
              <w:t>3 - 5</w:t>
            </w:r>
            <w:r w:rsidRPr="001753D3">
              <w:rPr>
                <w:rFonts w:ascii="Times New Roman" w:hAnsi="Times New Roman"/>
                <w:sz w:val="18"/>
                <w:szCs w:val="18"/>
                <w:lang w:eastAsia="it-IT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eastAsia="it-IT"/>
              </w:rPr>
              <w:t>-8</w:t>
            </w:r>
          </w:p>
          <w:p w:rsidR="00385928" w:rsidRPr="001753D3" w:rsidRDefault="00385928" w:rsidP="0038592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it-IT"/>
              </w:rPr>
            </w:pPr>
            <w:r w:rsidRPr="001753D3">
              <w:rPr>
                <w:rFonts w:ascii="Times New Roman" w:hAnsi="Times New Roman"/>
                <w:sz w:val="18"/>
                <w:szCs w:val="18"/>
                <w:lang w:eastAsia="it-IT"/>
              </w:rPr>
              <w:t>€/mq</w:t>
            </w:r>
          </w:p>
        </w:tc>
        <w:tc>
          <w:tcPr>
            <w:tcW w:w="1417" w:type="dxa"/>
          </w:tcPr>
          <w:p w:rsidR="00385928" w:rsidRPr="001753D3" w:rsidRDefault="00385928" w:rsidP="0038592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it-IT"/>
              </w:rPr>
            </w:pPr>
            <w:r>
              <w:rPr>
                <w:rFonts w:ascii="Times New Roman" w:hAnsi="Times New Roman"/>
                <w:sz w:val="18"/>
                <w:szCs w:val="18"/>
                <w:lang w:eastAsia="it-IT"/>
              </w:rPr>
              <w:t xml:space="preserve">Inserire i mq di </w:t>
            </w:r>
            <w:r w:rsidRPr="001753D3">
              <w:rPr>
                <w:rFonts w:ascii="Times New Roman" w:hAnsi="Times New Roman"/>
                <w:sz w:val="18"/>
                <w:szCs w:val="18"/>
                <w:lang w:eastAsia="it-IT"/>
              </w:rPr>
              <w:t>fabbricat</w:t>
            </w:r>
            <w:r>
              <w:rPr>
                <w:rFonts w:ascii="Times New Roman" w:hAnsi="Times New Roman"/>
                <w:sz w:val="18"/>
                <w:szCs w:val="18"/>
                <w:lang w:eastAsia="it-IT"/>
              </w:rPr>
              <w:t>i rurali presenti nell’area da espropriare</w:t>
            </w:r>
          </w:p>
        </w:tc>
        <w:tc>
          <w:tcPr>
            <w:tcW w:w="1418" w:type="dxa"/>
          </w:tcPr>
          <w:p w:rsidR="00385928" w:rsidRPr="001753D3" w:rsidRDefault="00385928" w:rsidP="0038592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it-IT"/>
              </w:rPr>
            </w:pPr>
            <w:r>
              <w:rPr>
                <w:rFonts w:ascii="Times New Roman" w:hAnsi="Times New Roman"/>
                <w:sz w:val="18"/>
                <w:szCs w:val="18"/>
                <w:lang w:eastAsia="it-IT"/>
              </w:rPr>
              <w:t>1000 – 1300 -2000 €/mq</w:t>
            </w:r>
          </w:p>
        </w:tc>
        <w:tc>
          <w:tcPr>
            <w:tcW w:w="1701" w:type="dxa"/>
          </w:tcPr>
          <w:p w:rsidR="00385928" w:rsidRPr="001753D3" w:rsidRDefault="00385928" w:rsidP="0038592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it-IT"/>
              </w:rPr>
            </w:pPr>
            <w:r>
              <w:rPr>
                <w:rFonts w:ascii="Times New Roman" w:hAnsi="Times New Roman"/>
                <w:sz w:val="18"/>
                <w:szCs w:val="18"/>
                <w:lang w:eastAsia="it-IT"/>
              </w:rPr>
              <w:t>Inserire i mq oggetto di occupazione</w:t>
            </w:r>
          </w:p>
        </w:tc>
        <w:tc>
          <w:tcPr>
            <w:tcW w:w="1134" w:type="dxa"/>
          </w:tcPr>
          <w:p w:rsidR="00385928" w:rsidRPr="001753D3" w:rsidRDefault="00385928" w:rsidP="0038592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it-IT"/>
              </w:rPr>
            </w:pPr>
            <w:r>
              <w:rPr>
                <w:rFonts w:ascii="Times New Roman" w:hAnsi="Times New Roman"/>
                <w:sz w:val="18"/>
                <w:szCs w:val="18"/>
                <w:lang w:eastAsia="it-IT"/>
              </w:rPr>
              <w:t>Inserire la durata in mesi dell’occupazione</w:t>
            </w:r>
          </w:p>
        </w:tc>
        <w:tc>
          <w:tcPr>
            <w:tcW w:w="1134" w:type="dxa"/>
          </w:tcPr>
          <w:p w:rsidR="00385928" w:rsidRPr="001753D3" w:rsidRDefault="00385928" w:rsidP="0038592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it-IT"/>
              </w:rPr>
            </w:pPr>
            <w:r>
              <w:rPr>
                <w:rFonts w:ascii="Times New Roman" w:hAnsi="Times New Roman"/>
                <w:sz w:val="18"/>
                <w:szCs w:val="18"/>
                <w:lang w:eastAsia="it-IT"/>
              </w:rPr>
              <w:t>Valori venali delle aree (colonne 2 e 4) x interesse legale (2%) x periodo di occupazione (colonna 9</w:t>
            </w:r>
            <w:proofErr w:type="gramStart"/>
            <w:r>
              <w:rPr>
                <w:rFonts w:ascii="Times New Roman" w:hAnsi="Times New Roman"/>
                <w:sz w:val="18"/>
                <w:szCs w:val="18"/>
                <w:lang w:eastAsia="it-IT"/>
              </w:rPr>
              <w:t>)  espressa</w:t>
            </w:r>
            <w:proofErr w:type="gramEnd"/>
            <w:r>
              <w:rPr>
                <w:rFonts w:ascii="Times New Roman" w:hAnsi="Times New Roman"/>
                <w:sz w:val="18"/>
                <w:szCs w:val="18"/>
                <w:lang w:eastAsia="it-IT"/>
              </w:rPr>
              <w:t xml:space="preserve"> in dodicesimi (se sono 9 mesi indicare 9/12)</w:t>
            </w:r>
          </w:p>
        </w:tc>
        <w:tc>
          <w:tcPr>
            <w:tcW w:w="2977" w:type="dxa"/>
          </w:tcPr>
          <w:p w:rsidR="00385928" w:rsidRDefault="00385928" w:rsidP="0038592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it-IT"/>
              </w:rPr>
            </w:pPr>
            <w:r>
              <w:rPr>
                <w:rFonts w:ascii="Times New Roman" w:hAnsi="Times New Roman"/>
                <w:sz w:val="18"/>
                <w:szCs w:val="18"/>
                <w:lang w:eastAsia="it-IT"/>
              </w:rPr>
              <w:t xml:space="preserve">Indennità di esproprio = </w:t>
            </w:r>
            <w:r>
              <w:rPr>
                <w:rFonts w:ascii="Times New Roman" w:hAnsi="Times New Roman"/>
                <w:sz w:val="18"/>
                <w:szCs w:val="18"/>
                <w:lang w:eastAsia="it-IT"/>
              </w:rPr>
              <w:t xml:space="preserve">Sommare colonna 2 e colonna 4 </w:t>
            </w:r>
          </w:p>
          <w:p w:rsidR="00385928" w:rsidRDefault="00385928" w:rsidP="0038592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it-IT"/>
              </w:rPr>
            </w:pPr>
          </w:p>
          <w:p w:rsidR="00385928" w:rsidRDefault="00385928" w:rsidP="0038592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it-IT"/>
              </w:rPr>
            </w:pPr>
            <w:r>
              <w:rPr>
                <w:rFonts w:ascii="Times New Roman" w:hAnsi="Times New Roman"/>
                <w:sz w:val="18"/>
                <w:szCs w:val="18"/>
                <w:lang w:eastAsia="it-IT"/>
              </w:rPr>
              <w:t>I</w:t>
            </w:r>
            <w:r>
              <w:rPr>
                <w:rFonts w:ascii="Times New Roman" w:hAnsi="Times New Roman"/>
                <w:sz w:val="18"/>
                <w:szCs w:val="18"/>
                <w:lang w:eastAsia="it-IT"/>
              </w:rPr>
              <w:t>nte</w:t>
            </w:r>
            <w:r>
              <w:rPr>
                <w:rFonts w:ascii="Times New Roman" w:hAnsi="Times New Roman"/>
                <w:sz w:val="18"/>
                <w:szCs w:val="18"/>
                <w:lang w:eastAsia="it-IT"/>
              </w:rPr>
              <w:t>ressi legali dalla data di espro</w:t>
            </w:r>
            <w:r>
              <w:rPr>
                <w:rFonts w:ascii="Times New Roman" w:hAnsi="Times New Roman"/>
                <w:sz w:val="18"/>
                <w:szCs w:val="18"/>
                <w:lang w:eastAsia="it-IT"/>
              </w:rPr>
              <w:t xml:space="preserve">prio alla liquidazione dell’indennità Interessi = </w:t>
            </w:r>
            <w:r>
              <w:rPr>
                <w:rFonts w:ascii="Times New Roman" w:hAnsi="Times New Roman"/>
                <w:sz w:val="18"/>
                <w:szCs w:val="18"/>
                <w:lang w:eastAsia="it-IT"/>
              </w:rPr>
              <w:t xml:space="preserve">Indennità di </w:t>
            </w:r>
            <w:proofErr w:type="gramStart"/>
            <w:r>
              <w:rPr>
                <w:rFonts w:ascii="Times New Roman" w:hAnsi="Times New Roman"/>
                <w:sz w:val="18"/>
                <w:szCs w:val="18"/>
                <w:lang w:eastAsia="it-IT"/>
              </w:rPr>
              <w:t xml:space="preserve">esproprio </w:t>
            </w:r>
            <w:r>
              <w:rPr>
                <w:rFonts w:ascii="Times New Roman" w:hAnsi="Times New Roman"/>
                <w:sz w:val="18"/>
                <w:szCs w:val="18"/>
                <w:lang w:eastAsia="it-IT"/>
              </w:rPr>
              <w:t xml:space="preserve"> x</w:t>
            </w:r>
            <w:proofErr w:type="gramEnd"/>
            <w:r>
              <w:rPr>
                <w:rFonts w:ascii="Times New Roman" w:hAnsi="Times New Roman"/>
                <w:sz w:val="18"/>
                <w:szCs w:val="18"/>
                <w:lang w:eastAsia="it-IT"/>
              </w:rPr>
              <w:t xml:space="preserve"> saggio legale x tempo)</w:t>
            </w:r>
          </w:p>
          <w:p w:rsidR="00385928" w:rsidRDefault="00385928" w:rsidP="0038592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it-IT"/>
              </w:rPr>
            </w:pPr>
          </w:p>
          <w:p w:rsidR="00385928" w:rsidRDefault="00385928" w:rsidP="0038592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it-IT"/>
              </w:rPr>
            </w:pPr>
          </w:p>
          <w:p w:rsidR="00385928" w:rsidRDefault="00385928" w:rsidP="0038592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it-IT"/>
              </w:rPr>
            </w:pPr>
            <w:r>
              <w:rPr>
                <w:rFonts w:ascii="Times New Roman" w:hAnsi="Times New Roman"/>
                <w:sz w:val="18"/>
                <w:szCs w:val="18"/>
                <w:lang w:eastAsia="it-IT"/>
              </w:rPr>
              <w:t>Indennità al fittavolo coltivatore diretto = V.A.M.</w:t>
            </w:r>
          </w:p>
          <w:p w:rsidR="00385928" w:rsidRPr="001753D3" w:rsidRDefault="00385928" w:rsidP="0038592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it-IT"/>
              </w:rPr>
            </w:pPr>
          </w:p>
        </w:tc>
      </w:tr>
      <w:tr w:rsidR="00385928" w:rsidRPr="001753D3" w:rsidTr="00385928">
        <w:trPr>
          <w:trHeight w:val="56"/>
        </w:trPr>
        <w:tc>
          <w:tcPr>
            <w:tcW w:w="1242" w:type="dxa"/>
            <w:shd w:val="clear" w:color="auto" w:fill="FFFF00"/>
          </w:tcPr>
          <w:p w:rsidR="00385928" w:rsidRDefault="00385928" w:rsidP="0038592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it-IT"/>
              </w:rPr>
            </w:pPr>
          </w:p>
          <w:p w:rsidR="00385928" w:rsidRDefault="00385928" w:rsidP="0038592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it-IT"/>
              </w:rPr>
            </w:pPr>
          </w:p>
          <w:p w:rsidR="00385928" w:rsidRDefault="00385928" w:rsidP="0038592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it-IT"/>
              </w:rPr>
            </w:pPr>
          </w:p>
          <w:p w:rsidR="00385928" w:rsidRDefault="00385928" w:rsidP="0038592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993" w:type="dxa"/>
            <w:shd w:val="clear" w:color="auto" w:fill="FFFF00"/>
          </w:tcPr>
          <w:p w:rsidR="00385928" w:rsidRPr="001753D3" w:rsidRDefault="00385928" w:rsidP="0038592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1417" w:type="dxa"/>
            <w:shd w:val="clear" w:color="auto" w:fill="FFFF00"/>
          </w:tcPr>
          <w:p w:rsidR="00385928" w:rsidRPr="001753D3" w:rsidRDefault="00385928" w:rsidP="0038592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992" w:type="dxa"/>
            <w:shd w:val="clear" w:color="auto" w:fill="FFFF00"/>
          </w:tcPr>
          <w:p w:rsidR="00385928" w:rsidRPr="001753D3" w:rsidRDefault="00385928" w:rsidP="0038592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851" w:type="dxa"/>
            <w:shd w:val="clear" w:color="auto" w:fill="FFFF00"/>
          </w:tcPr>
          <w:p w:rsidR="00385928" w:rsidRPr="001753D3" w:rsidRDefault="00385928" w:rsidP="0038592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1417" w:type="dxa"/>
            <w:shd w:val="clear" w:color="auto" w:fill="FFFF00"/>
          </w:tcPr>
          <w:p w:rsidR="00385928" w:rsidRPr="001753D3" w:rsidRDefault="00385928" w:rsidP="0038592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1418" w:type="dxa"/>
            <w:shd w:val="clear" w:color="auto" w:fill="FFFF00"/>
          </w:tcPr>
          <w:p w:rsidR="00385928" w:rsidRPr="001753D3" w:rsidRDefault="00385928" w:rsidP="0038592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1701" w:type="dxa"/>
            <w:shd w:val="clear" w:color="auto" w:fill="FFFF00"/>
          </w:tcPr>
          <w:p w:rsidR="00385928" w:rsidRPr="001753D3" w:rsidRDefault="00385928" w:rsidP="0038592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1134" w:type="dxa"/>
            <w:shd w:val="clear" w:color="auto" w:fill="FFFF00"/>
          </w:tcPr>
          <w:p w:rsidR="00385928" w:rsidRPr="001753D3" w:rsidRDefault="00385928" w:rsidP="0038592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1134" w:type="dxa"/>
            <w:shd w:val="clear" w:color="auto" w:fill="FFFF00"/>
          </w:tcPr>
          <w:p w:rsidR="00385928" w:rsidRPr="001753D3" w:rsidRDefault="00385928" w:rsidP="0038592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2977" w:type="dxa"/>
            <w:shd w:val="clear" w:color="auto" w:fill="FFFF00"/>
          </w:tcPr>
          <w:p w:rsidR="00385928" w:rsidRPr="001753D3" w:rsidRDefault="00385928" w:rsidP="0038592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it-IT"/>
              </w:rPr>
            </w:pPr>
          </w:p>
        </w:tc>
      </w:tr>
    </w:tbl>
    <w:p w:rsidR="00385928" w:rsidRDefault="00385928" w:rsidP="001753D3">
      <w:pPr>
        <w:spacing w:after="0" w:line="240" w:lineRule="auto"/>
        <w:jc w:val="both"/>
        <w:rPr>
          <w:rFonts w:ascii="Times New Roman" w:hAnsi="Times New Roman"/>
          <w:bCs/>
          <w:sz w:val="16"/>
          <w:szCs w:val="16"/>
        </w:rPr>
      </w:pPr>
    </w:p>
    <w:p w:rsidR="00385928" w:rsidRDefault="00385928" w:rsidP="001753D3">
      <w:pPr>
        <w:spacing w:after="0" w:line="240" w:lineRule="auto"/>
        <w:jc w:val="both"/>
        <w:rPr>
          <w:rFonts w:ascii="Times New Roman" w:hAnsi="Times New Roman"/>
          <w:bCs/>
          <w:sz w:val="16"/>
          <w:szCs w:val="16"/>
        </w:rPr>
      </w:pPr>
    </w:p>
    <w:p w:rsidR="00385928" w:rsidRDefault="00385928" w:rsidP="001753D3">
      <w:pPr>
        <w:spacing w:after="0" w:line="240" w:lineRule="auto"/>
        <w:jc w:val="both"/>
        <w:rPr>
          <w:rFonts w:ascii="Times New Roman" w:hAnsi="Times New Roman"/>
          <w:bCs/>
          <w:sz w:val="16"/>
          <w:szCs w:val="16"/>
        </w:rPr>
      </w:pPr>
    </w:p>
    <w:p w:rsidR="00385928" w:rsidRDefault="0072752B" w:rsidP="001753D3">
      <w:pPr>
        <w:spacing w:after="0" w:line="240" w:lineRule="auto"/>
        <w:jc w:val="both"/>
        <w:rPr>
          <w:rFonts w:ascii="Times New Roman" w:hAnsi="Times New Roman"/>
          <w:b/>
          <w:bCs/>
          <w:i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 xml:space="preserve">In definitiva, </w:t>
      </w:r>
      <w:r w:rsidRPr="0072752B">
        <w:rPr>
          <w:rFonts w:ascii="Times New Roman" w:hAnsi="Times New Roman"/>
          <w:b/>
          <w:bCs/>
          <w:i/>
          <w:sz w:val="16"/>
          <w:szCs w:val="16"/>
        </w:rPr>
        <w:t xml:space="preserve">sulla base </w:t>
      </w:r>
      <w:proofErr w:type="gramStart"/>
      <w:r w:rsidRPr="0072752B">
        <w:rPr>
          <w:rFonts w:ascii="Times New Roman" w:hAnsi="Times New Roman"/>
          <w:b/>
          <w:bCs/>
          <w:i/>
          <w:sz w:val="16"/>
          <w:szCs w:val="16"/>
        </w:rPr>
        <w:t>del  Testo</w:t>
      </w:r>
      <w:proofErr w:type="gramEnd"/>
      <w:r w:rsidRPr="0072752B">
        <w:rPr>
          <w:rFonts w:ascii="Times New Roman" w:hAnsi="Times New Roman"/>
          <w:b/>
          <w:bCs/>
          <w:i/>
          <w:sz w:val="16"/>
          <w:szCs w:val="16"/>
        </w:rPr>
        <w:t xml:space="preserve"> unico  D.P.R. 327/01 del 08.06.2001  Sentenza 181 del 10 giugno 2</w:t>
      </w:r>
      <w:r>
        <w:rPr>
          <w:rFonts w:ascii="Times New Roman" w:hAnsi="Times New Roman"/>
          <w:b/>
          <w:bCs/>
          <w:i/>
          <w:sz w:val="16"/>
          <w:szCs w:val="16"/>
        </w:rPr>
        <w:t>011 della Corte Costituzionale , la stima risulta essere la seguente:</w:t>
      </w:r>
    </w:p>
    <w:p w:rsidR="0072752B" w:rsidRDefault="0072752B" w:rsidP="001753D3">
      <w:pPr>
        <w:spacing w:after="0" w:line="240" w:lineRule="auto"/>
        <w:jc w:val="both"/>
        <w:rPr>
          <w:rFonts w:ascii="Times New Roman" w:hAnsi="Times New Roman"/>
          <w:bCs/>
          <w:sz w:val="16"/>
          <w:szCs w:val="16"/>
        </w:rPr>
      </w:pPr>
    </w:p>
    <w:p w:rsidR="0072752B" w:rsidRPr="0072752B" w:rsidRDefault="0072752B" w:rsidP="0072752B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72752B">
        <w:rPr>
          <w:rFonts w:ascii="Times New Roman" w:hAnsi="Times New Roman"/>
          <w:sz w:val="16"/>
          <w:szCs w:val="16"/>
        </w:rPr>
        <w:t xml:space="preserve">Indennità di esproprio = </w:t>
      </w:r>
    </w:p>
    <w:p w:rsidR="0072752B" w:rsidRDefault="0072752B" w:rsidP="0072752B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72752B">
        <w:rPr>
          <w:rFonts w:ascii="Times New Roman" w:hAnsi="Times New Roman"/>
          <w:sz w:val="16"/>
          <w:szCs w:val="16"/>
        </w:rPr>
        <w:t xml:space="preserve">Interessi legali dalla data di esproprio alla liquidazione dell’indennità Interessi = </w:t>
      </w:r>
    </w:p>
    <w:p w:rsidR="0072752B" w:rsidRDefault="0072752B" w:rsidP="0072752B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72752B">
        <w:rPr>
          <w:rFonts w:ascii="Times New Roman" w:hAnsi="Times New Roman"/>
          <w:sz w:val="16"/>
          <w:szCs w:val="16"/>
        </w:rPr>
        <w:t xml:space="preserve">Indennità al fittavolo coltivatore diretto = </w:t>
      </w:r>
    </w:p>
    <w:p w:rsidR="0072752B" w:rsidRDefault="0072752B" w:rsidP="0072752B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72752B" w:rsidRPr="0072752B" w:rsidRDefault="0072752B" w:rsidP="0072752B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385928" w:rsidRDefault="002A18F0" w:rsidP="001753D3">
      <w:pPr>
        <w:spacing w:after="0" w:line="240" w:lineRule="auto"/>
        <w:jc w:val="both"/>
        <w:rPr>
          <w:rFonts w:ascii="Times New Roman" w:hAnsi="Times New Roman"/>
          <w:b/>
          <w:i/>
          <w:sz w:val="16"/>
          <w:szCs w:val="16"/>
        </w:rPr>
      </w:pPr>
      <w:r w:rsidRPr="002A18F0">
        <w:rPr>
          <w:rFonts w:ascii="Times New Roman" w:hAnsi="Times New Roman"/>
          <w:b/>
          <w:i/>
          <w:sz w:val="16"/>
          <w:szCs w:val="16"/>
        </w:rPr>
        <w:t xml:space="preserve">7.1. Stima indennità di </w:t>
      </w:r>
      <w:proofErr w:type="spellStart"/>
      <w:r w:rsidRPr="002A18F0">
        <w:rPr>
          <w:rFonts w:ascii="Times New Roman" w:hAnsi="Times New Roman"/>
          <w:b/>
          <w:i/>
          <w:sz w:val="16"/>
          <w:szCs w:val="16"/>
        </w:rPr>
        <w:t>servitu’</w:t>
      </w:r>
      <w:proofErr w:type="spellEnd"/>
      <w:r w:rsidRPr="002A18F0">
        <w:rPr>
          <w:rFonts w:ascii="Times New Roman" w:hAnsi="Times New Roman"/>
          <w:b/>
          <w:i/>
          <w:sz w:val="16"/>
          <w:szCs w:val="16"/>
        </w:rPr>
        <w:t xml:space="preserve"> di passaggio coattivo</w:t>
      </w:r>
    </w:p>
    <w:p w:rsidR="002A18F0" w:rsidRPr="002A18F0" w:rsidRDefault="002A18F0" w:rsidP="001753D3">
      <w:pPr>
        <w:spacing w:after="0" w:line="240" w:lineRule="auto"/>
        <w:jc w:val="both"/>
        <w:rPr>
          <w:rFonts w:ascii="Times New Roman" w:hAnsi="Times New Roman"/>
          <w:b/>
          <w:i/>
          <w:sz w:val="16"/>
          <w:szCs w:val="16"/>
        </w:rPr>
      </w:pPr>
    </w:p>
    <w:p w:rsidR="000D21CC" w:rsidRDefault="000D21CC" w:rsidP="001753D3">
      <w:pPr>
        <w:spacing w:after="0" w:line="240" w:lineRule="auto"/>
        <w:jc w:val="center"/>
        <w:rPr>
          <w:rFonts w:ascii="Times New Roman" w:hAnsi="Times New Roman"/>
          <w:b/>
          <w:bCs/>
          <w:i/>
          <w:sz w:val="16"/>
          <w:szCs w:val="16"/>
        </w:rPr>
      </w:pPr>
    </w:p>
    <w:p w:rsidR="00385928" w:rsidRDefault="00385928" w:rsidP="001753D3">
      <w:pPr>
        <w:spacing w:after="0" w:line="240" w:lineRule="auto"/>
        <w:jc w:val="center"/>
        <w:rPr>
          <w:rFonts w:ascii="Times New Roman" w:hAnsi="Times New Roman"/>
          <w:b/>
          <w:bCs/>
          <w:i/>
          <w:sz w:val="16"/>
          <w:szCs w:val="16"/>
        </w:rPr>
      </w:pPr>
    </w:p>
    <w:p w:rsidR="002A18F0" w:rsidRDefault="002A18F0" w:rsidP="002A18F0">
      <w:pPr>
        <w:spacing w:after="0" w:line="240" w:lineRule="auto"/>
        <w:jc w:val="both"/>
        <w:rPr>
          <w:rFonts w:ascii="Times New Roman" w:hAnsi="Times New Roman"/>
          <w:bCs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L’indennizzo che il fondo dominante deve al fondo servente per la servitù secondo quanto previsto dal codice civile: </w:t>
      </w:r>
      <w:r w:rsidRPr="004214BB">
        <w:rPr>
          <w:rFonts w:ascii="Arial" w:hAnsi="Arial" w:cs="Arial"/>
          <w:sz w:val="16"/>
          <w:szCs w:val="16"/>
        </w:rPr>
        <w:t xml:space="preserve">I = Va + </w:t>
      </w:r>
      <w:proofErr w:type="spellStart"/>
      <w:r w:rsidRPr="004214BB">
        <w:rPr>
          <w:rFonts w:ascii="Arial" w:hAnsi="Arial" w:cs="Arial"/>
          <w:sz w:val="16"/>
          <w:szCs w:val="16"/>
        </w:rPr>
        <w:t>Imp</w:t>
      </w:r>
      <w:proofErr w:type="spellEnd"/>
      <w:r w:rsidRPr="004214BB">
        <w:rPr>
          <w:rFonts w:ascii="Arial" w:hAnsi="Arial" w:cs="Arial"/>
          <w:sz w:val="16"/>
          <w:szCs w:val="16"/>
        </w:rPr>
        <w:t xml:space="preserve"> / r + K + </w:t>
      </w:r>
      <w:proofErr w:type="spellStart"/>
      <w:r w:rsidRPr="004214BB">
        <w:rPr>
          <w:rFonts w:ascii="Arial" w:hAnsi="Arial" w:cs="Arial"/>
          <w:sz w:val="16"/>
          <w:szCs w:val="16"/>
        </w:rPr>
        <w:t>sorveg</w:t>
      </w:r>
      <w:proofErr w:type="spellEnd"/>
      <w:r w:rsidRPr="004214BB">
        <w:rPr>
          <w:rFonts w:ascii="Arial" w:hAnsi="Arial" w:cs="Arial"/>
          <w:sz w:val="16"/>
          <w:szCs w:val="16"/>
        </w:rPr>
        <w:t xml:space="preserve"> + d </w:t>
      </w:r>
    </w:p>
    <w:p w:rsidR="002A18F0" w:rsidRDefault="002A18F0" w:rsidP="002A18F0">
      <w:pPr>
        <w:spacing w:after="0" w:line="240" w:lineRule="auto"/>
        <w:jc w:val="both"/>
        <w:rPr>
          <w:rFonts w:ascii="Times New Roman" w:hAnsi="Times New Roman"/>
          <w:bCs/>
          <w:sz w:val="16"/>
          <w:szCs w:val="16"/>
        </w:rPr>
      </w:pPr>
    </w:p>
    <w:p w:rsidR="002A18F0" w:rsidRDefault="002A18F0" w:rsidP="002A18F0">
      <w:pPr>
        <w:spacing w:after="0" w:line="240" w:lineRule="auto"/>
        <w:jc w:val="both"/>
        <w:rPr>
          <w:rFonts w:ascii="Times New Roman" w:hAnsi="Times New Roman"/>
          <w:bCs/>
          <w:sz w:val="16"/>
          <w:szCs w:val="16"/>
        </w:rPr>
      </w:pPr>
    </w:p>
    <w:p w:rsidR="002A18F0" w:rsidRDefault="002A18F0" w:rsidP="002A18F0">
      <w:pPr>
        <w:spacing w:after="0" w:line="240" w:lineRule="auto"/>
        <w:jc w:val="both"/>
        <w:rPr>
          <w:rFonts w:ascii="Times New Roman" w:hAnsi="Times New Roman"/>
          <w:bCs/>
          <w:sz w:val="16"/>
          <w:szCs w:val="1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794"/>
        <w:gridCol w:w="2126"/>
        <w:gridCol w:w="2126"/>
      </w:tblGrid>
      <w:tr w:rsidR="002A18F0" w:rsidRPr="00385928" w:rsidTr="002568D2">
        <w:tc>
          <w:tcPr>
            <w:tcW w:w="3794" w:type="dxa"/>
          </w:tcPr>
          <w:p w:rsidR="002A18F0" w:rsidRPr="00385928" w:rsidRDefault="002A18F0" w:rsidP="002568D2">
            <w:pPr>
              <w:jc w:val="both"/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it-IT"/>
              </w:rPr>
            </w:pPr>
            <w:r w:rsidRPr="00385928"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it-IT"/>
              </w:rPr>
              <w:t>PARAMETRO</w:t>
            </w:r>
          </w:p>
        </w:tc>
        <w:tc>
          <w:tcPr>
            <w:tcW w:w="2126" w:type="dxa"/>
          </w:tcPr>
          <w:p w:rsidR="002A18F0" w:rsidRPr="00385928" w:rsidRDefault="002A18F0" w:rsidP="002568D2">
            <w:pPr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85928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UNITA’ </w:t>
            </w:r>
            <w:proofErr w:type="gramStart"/>
            <w:r w:rsidRPr="00385928">
              <w:rPr>
                <w:rFonts w:ascii="Times New Roman" w:hAnsi="Times New Roman"/>
                <w:b/>
                <w:bCs/>
                <w:sz w:val="16"/>
                <w:szCs w:val="16"/>
              </w:rPr>
              <w:t>DI  MISURA</w:t>
            </w:r>
            <w:proofErr w:type="gramEnd"/>
          </w:p>
        </w:tc>
        <w:tc>
          <w:tcPr>
            <w:tcW w:w="2126" w:type="dxa"/>
          </w:tcPr>
          <w:p w:rsidR="002A18F0" w:rsidRPr="00385928" w:rsidRDefault="002A18F0" w:rsidP="002568D2">
            <w:pPr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85928">
              <w:rPr>
                <w:rFonts w:ascii="Times New Roman" w:hAnsi="Times New Roman"/>
                <w:b/>
                <w:bCs/>
                <w:sz w:val="16"/>
                <w:szCs w:val="16"/>
              </w:rPr>
              <w:t>Inserire dato</w:t>
            </w:r>
          </w:p>
        </w:tc>
      </w:tr>
      <w:tr w:rsidR="002A18F0" w:rsidRPr="002A18F0" w:rsidTr="002568D2">
        <w:tc>
          <w:tcPr>
            <w:tcW w:w="3794" w:type="dxa"/>
          </w:tcPr>
          <w:p w:rsidR="002A18F0" w:rsidRPr="002A18F0" w:rsidRDefault="002A18F0" w:rsidP="002A18F0">
            <w:pPr>
              <w:rPr>
                <w:rFonts w:ascii="Arial" w:eastAsia="Times New Roman" w:hAnsi="Arial" w:cs="Arial"/>
                <w:i/>
                <w:sz w:val="18"/>
                <w:szCs w:val="18"/>
                <w:lang w:eastAsia="it-IT"/>
              </w:rPr>
            </w:pPr>
            <w:r w:rsidRPr="002A18F0">
              <w:rPr>
                <w:rFonts w:ascii="Arial" w:eastAsia="Times New Roman" w:hAnsi="Arial" w:cs="Arial"/>
                <w:i/>
                <w:sz w:val="18"/>
                <w:szCs w:val="18"/>
                <w:lang w:eastAsia="it-IT"/>
              </w:rPr>
              <w:t>Area soggetta all’estensione della servitù</w:t>
            </w:r>
            <w:r w:rsidRPr="002A18F0">
              <w:rPr>
                <w:rFonts w:ascii="Arial" w:eastAsia="Times New Roman" w:hAnsi="Arial" w:cs="Arial"/>
                <w:i/>
                <w:sz w:val="18"/>
                <w:szCs w:val="18"/>
                <w:lang w:eastAsia="it-IT"/>
              </w:rPr>
              <w:t xml:space="preserve"> </w:t>
            </w:r>
          </w:p>
        </w:tc>
        <w:tc>
          <w:tcPr>
            <w:tcW w:w="2126" w:type="dxa"/>
          </w:tcPr>
          <w:p w:rsidR="002A18F0" w:rsidRPr="002A18F0" w:rsidRDefault="002A18F0" w:rsidP="002A18F0">
            <w:pPr>
              <w:rPr>
                <w:rFonts w:ascii="Arial" w:eastAsia="Times New Roman" w:hAnsi="Arial" w:cs="Arial"/>
                <w:i/>
                <w:sz w:val="18"/>
                <w:szCs w:val="18"/>
                <w:lang w:eastAsia="it-IT"/>
              </w:rPr>
            </w:pPr>
            <w:r w:rsidRPr="00385928">
              <w:rPr>
                <w:rFonts w:ascii="Arial" w:eastAsia="Times New Roman" w:hAnsi="Arial" w:cs="Arial"/>
                <w:i/>
                <w:sz w:val="18"/>
                <w:szCs w:val="18"/>
                <w:lang w:eastAsia="it-IT"/>
              </w:rPr>
              <w:t>Mq</w:t>
            </w:r>
          </w:p>
        </w:tc>
        <w:tc>
          <w:tcPr>
            <w:tcW w:w="2126" w:type="dxa"/>
          </w:tcPr>
          <w:p w:rsidR="002A18F0" w:rsidRPr="002A18F0" w:rsidRDefault="002A18F0" w:rsidP="002A18F0">
            <w:pPr>
              <w:jc w:val="center"/>
              <w:rPr>
                <w:rFonts w:ascii="Arial" w:eastAsia="Times New Roman" w:hAnsi="Arial" w:cs="Arial"/>
                <w:i/>
                <w:sz w:val="18"/>
                <w:szCs w:val="18"/>
                <w:lang w:eastAsia="it-IT"/>
              </w:rPr>
            </w:pPr>
          </w:p>
        </w:tc>
      </w:tr>
      <w:tr w:rsidR="002A18F0" w:rsidTr="002568D2">
        <w:tc>
          <w:tcPr>
            <w:tcW w:w="3794" w:type="dxa"/>
          </w:tcPr>
          <w:p w:rsidR="002A18F0" w:rsidRPr="00385928" w:rsidRDefault="002A18F0" w:rsidP="002A18F0">
            <w:pPr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2A18F0">
              <w:rPr>
                <w:rFonts w:ascii="Arial" w:eastAsia="Times New Roman" w:hAnsi="Arial" w:cs="Arial"/>
                <w:i/>
                <w:sz w:val="18"/>
                <w:szCs w:val="18"/>
                <w:lang w:eastAsia="it-IT"/>
              </w:rPr>
              <w:t>R= Saggio di capitalizzazione</w:t>
            </w:r>
            <w:r w:rsidRPr="00385928">
              <w:rPr>
                <w:rFonts w:ascii="Arial" w:eastAsia="Times New Roman" w:hAnsi="Arial" w:cs="Arial"/>
                <w:i/>
                <w:sz w:val="18"/>
                <w:szCs w:val="18"/>
                <w:lang w:eastAsia="it-IT"/>
              </w:rPr>
              <w:t xml:space="preserve"> </w:t>
            </w:r>
          </w:p>
        </w:tc>
        <w:tc>
          <w:tcPr>
            <w:tcW w:w="2126" w:type="dxa"/>
          </w:tcPr>
          <w:p w:rsidR="002A18F0" w:rsidRDefault="002A18F0" w:rsidP="002568D2">
            <w:pPr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i/>
                <w:sz w:val="18"/>
                <w:szCs w:val="18"/>
                <w:lang w:eastAsia="it-IT"/>
              </w:rPr>
              <w:t>%</w:t>
            </w:r>
          </w:p>
        </w:tc>
        <w:tc>
          <w:tcPr>
            <w:tcW w:w="2126" w:type="dxa"/>
          </w:tcPr>
          <w:p w:rsidR="002A18F0" w:rsidRDefault="002A18F0" w:rsidP="002568D2">
            <w:pPr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2A18F0" w:rsidTr="002568D2">
        <w:tc>
          <w:tcPr>
            <w:tcW w:w="3794" w:type="dxa"/>
          </w:tcPr>
          <w:p w:rsidR="002A18F0" w:rsidRPr="00385928" w:rsidRDefault="002A18F0" w:rsidP="002A18F0">
            <w:pPr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2A18F0">
              <w:rPr>
                <w:rFonts w:ascii="Arial" w:eastAsia="Times New Roman" w:hAnsi="Arial" w:cs="Arial"/>
                <w:i/>
                <w:sz w:val="18"/>
                <w:szCs w:val="18"/>
                <w:lang w:eastAsia="it-IT"/>
              </w:rPr>
              <w:t xml:space="preserve">K= costo delle opere murarie e non (muri, siepi </w:t>
            </w:r>
            <w:proofErr w:type="gramStart"/>
            <w:r w:rsidRPr="002A18F0">
              <w:rPr>
                <w:rFonts w:ascii="Arial" w:eastAsia="Times New Roman" w:hAnsi="Arial" w:cs="Arial"/>
                <w:i/>
                <w:sz w:val="18"/>
                <w:szCs w:val="18"/>
                <w:lang w:eastAsia="it-IT"/>
              </w:rPr>
              <w:t>ecc..</w:t>
            </w:r>
            <w:proofErr w:type="gramEnd"/>
            <w:r w:rsidRPr="002A18F0">
              <w:rPr>
                <w:rFonts w:ascii="Arial" w:eastAsia="Times New Roman" w:hAnsi="Arial" w:cs="Arial"/>
                <w:i/>
                <w:sz w:val="18"/>
                <w:szCs w:val="18"/>
                <w:lang w:eastAsia="it-IT"/>
              </w:rPr>
              <w:t>) che servono per salvaguardare il fondo servente €/mq di area sottoposta a servitù</w:t>
            </w:r>
            <w:r w:rsidRPr="00385928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</w:tcPr>
          <w:p w:rsidR="002A18F0" w:rsidRDefault="002A18F0" w:rsidP="002568D2">
            <w:pPr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i/>
                <w:sz w:val="18"/>
                <w:szCs w:val="18"/>
                <w:lang w:eastAsia="it-IT"/>
              </w:rPr>
              <w:t xml:space="preserve">€/ </w:t>
            </w:r>
            <w:r w:rsidRPr="00385928">
              <w:rPr>
                <w:rFonts w:ascii="Arial" w:eastAsia="Times New Roman" w:hAnsi="Arial" w:cs="Arial"/>
                <w:i/>
                <w:sz w:val="18"/>
                <w:szCs w:val="18"/>
                <w:lang w:eastAsia="it-IT"/>
              </w:rPr>
              <w:t>Mq</w:t>
            </w:r>
          </w:p>
        </w:tc>
        <w:tc>
          <w:tcPr>
            <w:tcW w:w="2126" w:type="dxa"/>
          </w:tcPr>
          <w:p w:rsidR="002A18F0" w:rsidRDefault="002A18F0" w:rsidP="002568D2">
            <w:pPr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</w:tbl>
    <w:p w:rsidR="002A18F0" w:rsidRDefault="002A18F0" w:rsidP="002A18F0">
      <w:pPr>
        <w:spacing w:after="0" w:line="240" w:lineRule="auto"/>
        <w:jc w:val="both"/>
        <w:rPr>
          <w:rFonts w:ascii="Times New Roman" w:hAnsi="Times New Roman"/>
          <w:bCs/>
          <w:sz w:val="16"/>
          <w:szCs w:val="16"/>
        </w:rPr>
      </w:pPr>
    </w:p>
    <w:tbl>
      <w:tblPr>
        <w:tblpPr w:leftFromText="141" w:rightFromText="141" w:vertAnchor="text" w:horzAnchor="margin" w:tblpY="3"/>
        <w:tblOverlap w:val="never"/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993"/>
        <w:gridCol w:w="1417"/>
        <w:gridCol w:w="992"/>
        <w:gridCol w:w="1417"/>
        <w:gridCol w:w="1418"/>
        <w:gridCol w:w="1701"/>
        <w:gridCol w:w="1134"/>
        <w:gridCol w:w="1134"/>
        <w:gridCol w:w="2977"/>
      </w:tblGrid>
      <w:tr w:rsidR="002A18F0" w:rsidRPr="001753D3" w:rsidTr="002A18F0">
        <w:trPr>
          <w:trHeight w:val="276"/>
        </w:trPr>
        <w:tc>
          <w:tcPr>
            <w:tcW w:w="1242" w:type="dxa"/>
          </w:tcPr>
          <w:p w:rsidR="002A18F0" w:rsidRPr="001753D3" w:rsidRDefault="002A18F0" w:rsidP="002A1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sz w:val="18"/>
                <w:szCs w:val="18"/>
                <w:lang w:eastAsia="it-IT"/>
              </w:rPr>
            </w:pPr>
            <w:r w:rsidRPr="001753D3"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it-IT"/>
              </w:rPr>
              <w:t xml:space="preserve">Area </w:t>
            </w:r>
            <w:r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it-IT"/>
              </w:rPr>
              <w:t xml:space="preserve">soggetta all’estensione della servitù </w:t>
            </w:r>
            <w:proofErr w:type="gramStart"/>
            <w:r w:rsidRPr="001753D3"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it-IT"/>
              </w:rPr>
              <w:t>edificabile  mq</w:t>
            </w:r>
            <w:proofErr w:type="gramEnd"/>
          </w:p>
        </w:tc>
        <w:tc>
          <w:tcPr>
            <w:tcW w:w="993" w:type="dxa"/>
          </w:tcPr>
          <w:p w:rsidR="002A18F0" w:rsidRPr="001753D3" w:rsidRDefault="002A18F0" w:rsidP="002568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it-IT"/>
              </w:rPr>
            </w:pPr>
            <w:r w:rsidRPr="001753D3"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it-IT"/>
              </w:rPr>
              <w:t>Valore venale dell’area</w:t>
            </w:r>
          </w:p>
        </w:tc>
        <w:tc>
          <w:tcPr>
            <w:tcW w:w="1417" w:type="dxa"/>
          </w:tcPr>
          <w:p w:rsidR="002A18F0" w:rsidRPr="001753D3" w:rsidRDefault="002A18F0" w:rsidP="00256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sz w:val="18"/>
                <w:szCs w:val="18"/>
                <w:lang w:eastAsia="it-IT"/>
              </w:rPr>
            </w:pPr>
            <w:r w:rsidRPr="002A18F0"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it-IT"/>
              </w:rPr>
              <w:t xml:space="preserve">Area soggetta all’estensione della servitù </w:t>
            </w:r>
            <w:proofErr w:type="gramStart"/>
            <w:r w:rsidRPr="001753D3"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it-IT"/>
              </w:rPr>
              <w:t>agricola  mq</w:t>
            </w:r>
            <w:proofErr w:type="gramEnd"/>
          </w:p>
        </w:tc>
        <w:tc>
          <w:tcPr>
            <w:tcW w:w="992" w:type="dxa"/>
          </w:tcPr>
          <w:p w:rsidR="002A18F0" w:rsidRPr="001753D3" w:rsidRDefault="002A18F0" w:rsidP="002568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it-IT"/>
              </w:rPr>
            </w:pPr>
            <w:r w:rsidRPr="001753D3"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it-IT"/>
              </w:rPr>
              <w:t>Valore venale dell’area</w:t>
            </w:r>
          </w:p>
        </w:tc>
        <w:tc>
          <w:tcPr>
            <w:tcW w:w="1417" w:type="dxa"/>
          </w:tcPr>
          <w:p w:rsidR="002A18F0" w:rsidRPr="001753D3" w:rsidRDefault="002A18F0" w:rsidP="002568D2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2A18F0">
              <w:rPr>
                <w:rFonts w:ascii="Arial" w:hAnsi="Arial" w:cs="Arial"/>
                <w:b/>
                <w:i/>
                <w:sz w:val="18"/>
                <w:szCs w:val="18"/>
              </w:rPr>
              <w:t xml:space="preserve">K= costo delle opere murarie e non (muri, siepi </w:t>
            </w:r>
            <w:proofErr w:type="gramStart"/>
            <w:r w:rsidRPr="002A18F0">
              <w:rPr>
                <w:rFonts w:ascii="Arial" w:hAnsi="Arial" w:cs="Arial"/>
                <w:b/>
                <w:i/>
                <w:sz w:val="18"/>
                <w:szCs w:val="18"/>
              </w:rPr>
              <w:t>ecc..</w:t>
            </w:r>
            <w:proofErr w:type="gramEnd"/>
            <w:r w:rsidRPr="002A18F0">
              <w:rPr>
                <w:rFonts w:ascii="Arial" w:hAnsi="Arial" w:cs="Arial"/>
                <w:b/>
                <w:i/>
                <w:sz w:val="18"/>
                <w:szCs w:val="18"/>
              </w:rPr>
              <w:t>) che servono per salvaguardare il fondo servente €/mq di area sottoposta a servitù</w:t>
            </w:r>
          </w:p>
        </w:tc>
        <w:tc>
          <w:tcPr>
            <w:tcW w:w="1418" w:type="dxa"/>
          </w:tcPr>
          <w:p w:rsidR="002A18F0" w:rsidRPr="001753D3" w:rsidRDefault="002A18F0" w:rsidP="002568D2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2A18F0">
              <w:rPr>
                <w:rFonts w:ascii="Arial" w:hAnsi="Arial" w:cs="Arial"/>
                <w:b/>
                <w:i/>
                <w:sz w:val="18"/>
                <w:szCs w:val="18"/>
              </w:rPr>
              <w:t xml:space="preserve">Im= Imposte e degli altri carichi inerenti al </w:t>
            </w:r>
            <w:proofErr w:type="gramStart"/>
            <w:r w:rsidRPr="002A18F0">
              <w:rPr>
                <w:rFonts w:ascii="Arial" w:hAnsi="Arial" w:cs="Arial"/>
                <w:b/>
                <w:i/>
                <w:sz w:val="18"/>
                <w:szCs w:val="18"/>
              </w:rPr>
              <w:t>fondo(</w:t>
            </w:r>
            <w:proofErr w:type="gramEnd"/>
            <w:r w:rsidRPr="002A18F0">
              <w:rPr>
                <w:rFonts w:ascii="Arial" w:hAnsi="Arial" w:cs="Arial"/>
                <w:b/>
                <w:i/>
                <w:sz w:val="18"/>
                <w:szCs w:val="18"/>
              </w:rPr>
              <w:t>% sul valore venale dell’area)</w:t>
            </w:r>
          </w:p>
        </w:tc>
        <w:tc>
          <w:tcPr>
            <w:tcW w:w="1701" w:type="dxa"/>
          </w:tcPr>
          <w:p w:rsidR="002A18F0" w:rsidRPr="001753D3" w:rsidRDefault="002A18F0" w:rsidP="00256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sz w:val="18"/>
                <w:szCs w:val="18"/>
                <w:lang w:eastAsia="it-IT"/>
              </w:rPr>
            </w:pPr>
            <w:r w:rsidRPr="002A18F0">
              <w:rPr>
                <w:rFonts w:ascii="Arial" w:hAnsi="Arial" w:cs="Arial"/>
                <w:b/>
                <w:i/>
                <w:sz w:val="18"/>
                <w:szCs w:val="18"/>
              </w:rPr>
              <w:t>R= Saggio di capitalizzazione</w:t>
            </w:r>
          </w:p>
        </w:tc>
        <w:tc>
          <w:tcPr>
            <w:tcW w:w="1134" w:type="dxa"/>
          </w:tcPr>
          <w:p w:rsidR="002A18F0" w:rsidRPr="002A18F0" w:rsidRDefault="002A18F0" w:rsidP="002A18F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proofErr w:type="spellStart"/>
            <w:proofErr w:type="gramStart"/>
            <w:r w:rsidRPr="002A18F0">
              <w:rPr>
                <w:rFonts w:ascii="Arial" w:hAnsi="Arial" w:cs="Arial"/>
                <w:b/>
                <w:i/>
                <w:sz w:val="18"/>
                <w:szCs w:val="18"/>
              </w:rPr>
              <w:t>sorveg</w:t>
            </w:r>
            <w:proofErr w:type="spellEnd"/>
            <w:proofErr w:type="gramEnd"/>
            <w:r w:rsidRPr="002A18F0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= oneri relativi alla sorveglianza</w:t>
            </w:r>
          </w:p>
          <w:p w:rsidR="002A18F0" w:rsidRPr="001753D3" w:rsidRDefault="002A18F0" w:rsidP="002A18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sz w:val="18"/>
                <w:szCs w:val="18"/>
                <w:lang w:eastAsia="it-IT"/>
              </w:rPr>
            </w:pPr>
            <w:r w:rsidRPr="002A18F0">
              <w:rPr>
                <w:rFonts w:ascii="Arial" w:hAnsi="Arial" w:cs="Arial"/>
                <w:b/>
                <w:i/>
                <w:sz w:val="18"/>
                <w:szCs w:val="18"/>
              </w:rPr>
              <w:t>(% sul valore venale dell’area)</w:t>
            </w:r>
          </w:p>
        </w:tc>
        <w:tc>
          <w:tcPr>
            <w:tcW w:w="1134" w:type="dxa"/>
          </w:tcPr>
          <w:p w:rsidR="002A18F0" w:rsidRPr="002A18F0" w:rsidRDefault="002A18F0" w:rsidP="002A18F0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proofErr w:type="gramStart"/>
            <w:r w:rsidRPr="002A18F0">
              <w:rPr>
                <w:rFonts w:ascii="Arial" w:hAnsi="Arial" w:cs="Arial"/>
                <w:b/>
                <w:i/>
                <w:sz w:val="18"/>
                <w:szCs w:val="18"/>
              </w:rPr>
              <w:t>d</w:t>
            </w:r>
            <w:proofErr w:type="gramEnd"/>
            <w:r w:rsidRPr="002A18F0">
              <w:rPr>
                <w:rFonts w:ascii="Arial" w:hAnsi="Arial" w:cs="Arial"/>
                <w:b/>
                <w:i/>
                <w:sz w:val="18"/>
                <w:szCs w:val="18"/>
              </w:rPr>
              <w:t>=Danni</w:t>
            </w:r>
          </w:p>
          <w:p w:rsidR="002A18F0" w:rsidRPr="001753D3" w:rsidRDefault="002A18F0" w:rsidP="002A18F0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2A18F0">
              <w:rPr>
                <w:rFonts w:ascii="Arial" w:hAnsi="Arial" w:cs="Arial"/>
                <w:b/>
                <w:i/>
                <w:sz w:val="18"/>
                <w:szCs w:val="18"/>
              </w:rPr>
              <w:t>(% sul valore venale dell’area)</w:t>
            </w:r>
          </w:p>
        </w:tc>
        <w:tc>
          <w:tcPr>
            <w:tcW w:w="2977" w:type="dxa"/>
          </w:tcPr>
          <w:p w:rsidR="002A18F0" w:rsidRPr="001753D3" w:rsidRDefault="002A18F0" w:rsidP="002568D2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Calcolo </w:t>
            </w:r>
            <w:r w:rsidRPr="001753D3">
              <w:rPr>
                <w:rFonts w:ascii="Arial" w:hAnsi="Arial" w:cs="Arial"/>
                <w:b/>
                <w:i/>
                <w:sz w:val="18"/>
                <w:szCs w:val="18"/>
              </w:rPr>
              <w:t xml:space="preserve">Indennità di esproprio sulla base </w:t>
            </w:r>
            <w:proofErr w:type="gramStart"/>
            <w:r w:rsidRPr="001753D3">
              <w:rPr>
                <w:rFonts w:ascii="Arial" w:hAnsi="Arial" w:cs="Arial"/>
                <w:b/>
                <w:i/>
                <w:sz w:val="18"/>
                <w:szCs w:val="18"/>
              </w:rPr>
              <w:t>del  Testo</w:t>
            </w:r>
            <w:proofErr w:type="gramEnd"/>
            <w:r w:rsidRPr="001753D3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unico  D.P.R. 327/01 del 08.06.2001  Sentenza 181 del 10 giugno 2011 della Corte Costituzionale  </w:t>
            </w:r>
          </w:p>
        </w:tc>
      </w:tr>
      <w:tr w:rsidR="002A18F0" w:rsidRPr="001753D3" w:rsidTr="002A18F0">
        <w:trPr>
          <w:trHeight w:val="56"/>
        </w:trPr>
        <w:tc>
          <w:tcPr>
            <w:tcW w:w="1242" w:type="dxa"/>
          </w:tcPr>
          <w:p w:rsidR="002A18F0" w:rsidRPr="001753D3" w:rsidRDefault="002A18F0" w:rsidP="002A18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it-IT"/>
              </w:rPr>
            </w:pPr>
            <w:r>
              <w:rPr>
                <w:rFonts w:ascii="Times New Roman" w:hAnsi="Times New Roman"/>
                <w:sz w:val="18"/>
                <w:szCs w:val="18"/>
                <w:lang w:eastAsia="it-IT"/>
              </w:rPr>
              <w:t xml:space="preserve">Inserire i mq oggetto di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eastAsia="it-IT"/>
              </w:rPr>
              <w:t>servitu’</w:t>
            </w:r>
            <w:proofErr w:type="spellEnd"/>
          </w:p>
        </w:tc>
        <w:tc>
          <w:tcPr>
            <w:tcW w:w="993" w:type="dxa"/>
          </w:tcPr>
          <w:p w:rsidR="002A18F0" w:rsidRPr="001753D3" w:rsidRDefault="002A18F0" w:rsidP="00256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it-IT"/>
              </w:rPr>
            </w:pPr>
            <w:r>
              <w:rPr>
                <w:rFonts w:ascii="Times New Roman" w:hAnsi="Times New Roman"/>
                <w:sz w:val="18"/>
                <w:szCs w:val="18"/>
                <w:lang w:eastAsia="it-IT"/>
              </w:rPr>
              <w:t xml:space="preserve">50 – 100 -200 </w:t>
            </w:r>
            <w:r w:rsidRPr="001753D3">
              <w:rPr>
                <w:rFonts w:ascii="Times New Roman" w:hAnsi="Times New Roman"/>
                <w:sz w:val="18"/>
                <w:szCs w:val="18"/>
                <w:lang w:eastAsia="it-IT"/>
              </w:rPr>
              <w:t>€/mq</w:t>
            </w:r>
          </w:p>
        </w:tc>
        <w:tc>
          <w:tcPr>
            <w:tcW w:w="1417" w:type="dxa"/>
          </w:tcPr>
          <w:p w:rsidR="002A18F0" w:rsidRPr="001753D3" w:rsidRDefault="002A18F0" w:rsidP="002A18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it-IT"/>
              </w:rPr>
            </w:pPr>
            <w:r>
              <w:rPr>
                <w:rFonts w:ascii="Times New Roman" w:hAnsi="Times New Roman"/>
                <w:sz w:val="18"/>
                <w:szCs w:val="18"/>
                <w:lang w:eastAsia="it-IT"/>
              </w:rPr>
              <w:t xml:space="preserve">Inserire i mq oggetto di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eastAsia="it-IT"/>
              </w:rPr>
              <w:t>servitu’</w:t>
            </w:r>
            <w:proofErr w:type="spellEnd"/>
          </w:p>
        </w:tc>
        <w:tc>
          <w:tcPr>
            <w:tcW w:w="992" w:type="dxa"/>
          </w:tcPr>
          <w:p w:rsidR="002A18F0" w:rsidRDefault="002A18F0" w:rsidP="00256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it-IT"/>
              </w:rPr>
            </w:pPr>
            <w:r w:rsidRPr="001753D3">
              <w:rPr>
                <w:rFonts w:ascii="Times New Roman" w:hAnsi="Times New Roman"/>
                <w:sz w:val="18"/>
                <w:szCs w:val="18"/>
                <w:lang w:eastAsia="it-IT"/>
              </w:rPr>
              <w:t>5</w:t>
            </w:r>
            <w:r>
              <w:rPr>
                <w:rFonts w:ascii="Times New Roman" w:hAnsi="Times New Roman"/>
                <w:sz w:val="18"/>
                <w:szCs w:val="18"/>
                <w:lang w:eastAsia="it-IT"/>
              </w:rPr>
              <w:t xml:space="preserve"> – 10 -20</w:t>
            </w:r>
          </w:p>
          <w:p w:rsidR="002A18F0" w:rsidRPr="001753D3" w:rsidRDefault="002A18F0" w:rsidP="00256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it-IT"/>
              </w:rPr>
            </w:pPr>
            <w:r w:rsidRPr="001753D3">
              <w:rPr>
                <w:rFonts w:ascii="Times New Roman" w:hAnsi="Times New Roman"/>
                <w:sz w:val="18"/>
                <w:szCs w:val="18"/>
                <w:lang w:eastAsia="it-IT"/>
              </w:rPr>
              <w:t xml:space="preserve"> €/mq</w:t>
            </w:r>
          </w:p>
        </w:tc>
        <w:tc>
          <w:tcPr>
            <w:tcW w:w="1417" w:type="dxa"/>
          </w:tcPr>
          <w:p w:rsidR="002A18F0" w:rsidRPr="001753D3" w:rsidRDefault="002A18F0" w:rsidP="00256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it-IT"/>
              </w:rPr>
            </w:pPr>
            <w:r>
              <w:rPr>
                <w:rFonts w:ascii="Times New Roman" w:hAnsi="Times New Roman"/>
                <w:sz w:val="18"/>
                <w:szCs w:val="18"/>
                <w:lang w:eastAsia="it-IT"/>
              </w:rPr>
              <w:t>100-150-200 €/mq</w:t>
            </w:r>
          </w:p>
        </w:tc>
        <w:tc>
          <w:tcPr>
            <w:tcW w:w="1418" w:type="dxa"/>
          </w:tcPr>
          <w:p w:rsidR="002A18F0" w:rsidRPr="001753D3" w:rsidRDefault="002A18F0" w:rsidP="00256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it-IT"/>
              </w:rPr>
            </w:pPr>
            <w:r>
              <w:rPr>
                <w:rFonts w:ascii="Times New Roman" w:hAnsi="Times New Roman"/>
                <w:sz w:val="18"/>
                <w:szCs w:val="18"/>
                <w:lang w:eastAsia="it-IT"/>
              </w:rPr>
              <w:t>1-2-3- %</w:t>
            </w:r>
          </w:p>
        </w:tc>
        <w:tc>
          <w:tcPr>
            <w:tcW w:w="1701" w:type="dxa"/>
          </w:tcPr>
          <w:p w:rsidR="002A18F0" w:rsidRPr="001753D3" w:rsidRDefault="002A18F0" w:rsidP="00256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it-IT"/>
              </w:rPr>
            </w:pPr>
            <w:r>
              <w:rPr>
                <w:rFonts w:ascii="Times New Roman" w:hAnsi="Times New Roman"/>
                <w:sz w:val="18"/>
                <w:szCs w:val="18"/>
                <w:lang w:eastAsia="it-IT"/>
              </w:rPr>
              <w:t>2-3-4-5 %</w:t>
            </w:r>
          </w:p>
        </w:tc>
        <w:tc>
          <w:tcPr>
            <w:tcW w:w="1134" w:type="dxa"/>
          </w:tcPr>
          <w:p w:rsidR="002A18F0" w:rsidRPr="001753D3" w:rsidRDefault="002A18F0" w:rsidP="00256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it-IT"/>
              </w:rPr>
            </w:pPr>
            <w:r>
              <w:rPr>
                <w:rFonts w:ascii="Times New Roman" w:hAnsi="Times New Roman"/>
                <w:sz w:val="18"/>
                <w:szCs w:val="18"/>
                <w:lang w:eastAsia="it-IT"/>
              </w:rPr>
              <w:t>0,5-1-1,5-2 %</w:t>
            </w:r>
          </w:p>
        </w:tc>
        <w:tc>
          <w:tcPr>
            <w:tcW w:w="1134" w:type="dxa"/>
          </w:tcPr>
          <w:p w:rsidR="002A18F0" w:rsidRPr="001753D3" w:rsidRDefault="002A18F0" w:rsidP="00256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it-IT"/>
              </w:rPr>
            </w:pPr>
            <w:r>
              <w:rPr>
                <w:rFonts w:ascii="Times New Roman" w:hAnsi="Times New Roman"/>
                <w:sz w:val="18"/>
                <w:szCs w:val="18"/>
                <w:lang w:eastAsia="it-IT"/>
              </w:rPr>
              <w:t xml:space="preserve">10-15-20 % </w:t>
            </w:r>
          </w:p>
        </w:tc>
        <w:tc>
          <w:tcPr>
            <w:tcW w:w="2977" w:type="dxa"/>
          </w:tcPr>
          <w:p w:rsidR="002A18F0" w:rsidRDefault="002A18F0" w:rsidP="00256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it-IT"/>
              </w:rPr>
            </w:pPr>
            <w:r>
              <w:rPr>
                <w:rFonts w:ascii="Times New Roman" w:hAnsi="Times New Roman"/>
                <w:sz w:val="18"/>
                <w:szCs w:val="18"/>
                <w:lang w:eastAsia="it-IT"/>
              </w:rPr>
              <w:t xml:space="preserve">Indennità di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eastAsia="it-IT"/>
              </w:rPr>
              <w:t>sercitu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it-IT"/>
              </w:rPr>
              <w:t>’</w:t>
            </w:r>
            <w:r>
              <w:rPr>
                <w:rFonts w:ascii="Times New Roman" w:hAnsi="Times New Roman"/>
                <w:sz w:val="18"/>
                <w:szCs w:val="18"/>
                <w:lang w:eastAsia="it-IT"/>
              </w:rPr>
              <w:t xml:space="preserve"> = Sommare colonna 2 </w:t>
            </w:r>
            <w:r w:rsidR="000A7EDB">
              <w:rPr>
                <w:rFonts w:ascii="Times New Roman" w:hAnsi="Times New Roman"/>
                <w:sz w:val="18"/>
                <w:szCs w:val="18"/>
                <w:lang w:eastAsia="it-IT"/>
              </w:rPr>
              <w:t>o</w:t>
            </w:r>
            <w:r>
              <w:rPr>
                <w:rFonts w:ascii="Times New Roman" w:hAnsi="Times New Roman"/>
                <w:sz w:val="18"/>
                <w:szCs w:val="18"/>
                <w:lang w:eastAsia="it-IT"/>
              </w:rPr>
              <w:t xml:space="preserve"> colonna 4 </w:t>
            </w:r>
            <w:r w:rsidR="000A7EDB">
              <w:rPr>
                <w:rFonts w:ascii="Times New Roman" w:hAnsi="Times New Roman"/>
                <w:sz w:val="18"/>
                <w:szCs w:val="18"/>
                <w:lang w:eastAsia="it-IT"/>
              </w:rPr>
              <w:t xml:space="preserve">+ colonne 5, + (6/7) + 8 + 9= </w:t>
            </w:r>
          </w:p>
          <w:p w:rsidR="002A18F0" w:rsidRDefault="002A18F0" w:rsidP="00256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it-IT"/>
              </w:rPr>
            </w:pPr>
          </w:p>
          <w:p w:rsidR="002A18F0" w:rsidRPr="001753D3" w:rsidRDefault="002A18F0" w:rsidP="000A7ED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it-IT"/>
              </w:rPr>
            </w:pPr>
          </w:p>
        </w:tc>
      </w:tr>
      <w:tr w:rsidR="002A18F0" w:rsidRPr="001753D3" w:rsidTr="002A18F0">
        <w:trPr>
          <w:trHeight w:val="56"/>
        </w:trPr>
        <w:tc>
          <w:tcPr>
            <w:tcW w:w="1242" w:type="dxa"/>
            <w:shd w:val="clear" w:color="auto" w:fill="FFFF00"/>
          </w:tcPr>
          <w:p w:rsidR="002A18F0" w:rsidRDefault="002A18F0" w:rsidP="00256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it-IT"/>
              </w:rPr>
            </w:pPr>
          </w:p>
          <w:p w:rsidR="002A18F0" w:rsidRDefault="002A18F0" w:rsidP="00256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it-IT"/>
              </w:rPr>
            </w:pPr>
          </w:p>
          <w:p w:rsidR="002A18F0" w:rsidRDefault="002A18F0" w:rsidP="00256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it-IT"/>
              </w:rPr>
            </w:pPr>
          </w:p>
          <w:p w:rsidR="002A18F0" w:rsidRDefault="002A18F0" w:rsidP="00256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993" w:type="dxa"/>
            <w:shd w:val="clear" w:color="auto" w:fill="FFFF00"/>
          </w:tcPr>
          <w:p w:rsidR="002A18F0" w:rsidRPr="001753D3" w:rsidRDefault="002A18F0" w:rsidP="00256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1417" w:type="dxa"/>
            <w:shd w:val="clear" w:color="auto" w:fill="FFFF00"/>
          </w:tcPr>
          <w:p w:rsidR="002A18F0" w:rsidRPr="001753D3" w:rsidRDefault="002A18F0" w:rsidP="00256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992" w:type="dxa"/>
            <w:shd w:val="clear" w:color="auto" w:fill="FFFF00"/>
          </w:tcPr>
          <w:p w:rsidR="002A18F0" w:rsidRPr="001753D3" w:rsidRDefault="002A18F0" w:rsidP="00256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1417" w:type="dxa"/>
            <w:shd w:val="clear" w:color="auto" w:fill="FFFF00"/>
          </w:tcPr>
          <w:p w:rsidR="002A18F0" w:rsidRPr="001753D3" w:rsidRDefault="002A18F0" w:rsidP="00256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1418" w:type="dxa"/>
            <w:shd w:val="clear" w:color="auto" w:fill="FFFF00"/>
          </w:tcPr>
          <w:p w:rsidR="002A18F0" w:rsidRPr="001753D3" w:rsidRDefault="002A18F0" w:rsidP="00256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1701" w:type="dxa"/>
            <w:shd w:val="clear" w:color="auto" w:fill="FFFF00"/>
          </w:tcPr>
          <w:p w:rsidR="002A18F0" w:rsidRPr="001753D3" w:rsidRDefault="002A18F0" w:rsidP="00256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1134" w:type="dxa"/>
            <w:shd w:val="clear" w:color="auto" w:fill="FFFF00"/>
          </w:tcPr>
          <w:p w:rsidR="002A18F0" w:rsidRPr="001753D3" w:rsidRDefault="002A18F0" w:rsidP="00256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1134" w:type="dxa"/>
            <w:shd w:val="clear" w:color="auto" w:fill="FFFF00"/>
          </w:tcPr>
          <w:p w:rsidR="002A18F0" w:rsidRPr="001753D3" w:rsidRDefault="002A18F0" w:rsidP="00256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2977" w:type="dxa"/>
            <w:shd w:val="clear" w:color="auto" w:fill="FFFF00"/>
          </w:tcPr>
          <w:p w:rsidR="002A18F0" w:rsidRPr="001753D3" w:rsidRDefault="002A18F0" w:rsidP="002568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it-IT"/>
              </w:rPr>
            </w:pPr>
          </w:p>
        </w:tc>
      </w:tr>
    </w:tbl>
    <w:p w:rsidR="002A18F0" w:rsidRDefault="002A18F0" w:rsidP="002A18F0">
      <w:pPr>
        <w:spacing w:after="0" w:line="240" w:lineRule="auto"/>
        <w:jc w:val="both"/>
        <w:rPr>
          <w:rFonts w:ascii="Times New Roman" w:hAnsi="Times New Roman"/>
          <w:bCs/>
          <w:sz w:val="16"/>
          <w:szCs w:val="16"/>
        </w:rPr>
      </w:pPr>
    </w:p>
    <w:p w:rsidR="002A18F0" w:rsidRDefault="002A18F0" w:rsidP="002A18F0">
      <w:pPr>
        <w:spacing w:after="0" w:line="240" w:lineRule="auto"/>
        <w:jc w:val="both"/>
        <w:rPr>
          <w:rFonts w:ascii="Times New Roman" w:hAnsi="Times New Roman"/>
          <w:bCs/>
          <w:sz w:val="16"/>
          <w:szCs w:val="16"/>
        </w:rPr>
      </w:pPr>
    </w:p>
    <w:p w:rsidR="002A18F0" w:rsidRDefault="002A18F0" w:rsidP="002A18F0">
      <w:pPr>
        <w:spacing w:after="0" w:line="240" w:lineRule="auto"/>
        <w:jc w:val="both"/>
        <w:rPr>
          <w:rFonts w:ascii="Times New Roman" w:hAnsi="Times New Roman"/>
          <w:bCs/>
          <w:sz w:val="16"/>
          <w:szCs w:val="16"/>
        </w:rPr>
      </w:pPr>
    </w:p>
    <w:p w:rsidR="002A18F0" w:rsidRDefault="002A18F0" w:rsidP="002A18F0">
      <w:pPr>
        <w:spacing w:after="0" w:line="240" w:lineRule="auto"/>
        <w:jc w:val="both"/>
        <w:rPr>
          <w:rFonts w:ascii="Times New Roman" w:hAnsi="Times New Roman"/>
          <w:b/>
          <w:bCs/>
          <w:i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 xml:space="preserve">In definitiva, </w:t>
      </w:r>
      <w:r w:rsidR="000A7EDB">
        <w:rPr>
          <w:rFonts w:ascii="Times New Roman" w:hAnsi="Times New Roman"/>
          <w:b/>
          <w:bCs/>
          <w:i/>
          <w:sz w:val="16"/>
          <w:szCs w:val="16"/>
        </w:rPr>
        <w:t>l</w:t>
      </w:r>
      <w:r w:rsidR="000A7EDB" w:rsidRPr="000A7EDB">
        <w:rPr>
          <w:rFonts w:ascii="Times New Roman" w:hAnsi="Times New Roman"/>
          <w:b/>
          <w:bCs/>
          <w:i/>
          <w:sz w:val="16"/>
          <w:szCs w:val="16"/>
        </w:rPr>
        <w:t>’indennizzo che il fondo dominante deve al fondo servente per la servitù</w:t>
      </w:r>
      <w:r>
        <w:rPr>
          <w:rFonts w:ascii="Times New Roman" w:hAnsi="Times New Roman"/>
          <w:b/>
          <w:bCs/>
          <w:i/>
          <w:sz w:val="16"/>
          <w:szCs w:val="16"/>
        </w:rPr>
        <w:t xml:space="preserve"> </w:t>
      </w:r>
      <w:r w:rsidR="000A7EDB">
        <w:rPr>
          <w:rFonts w:ascii="Times New Roman" w:hAnsi="Times New Roman"/>
          <w:b/>
          <w:bCs/>
          <w:i/>
          <w:sz w:val="16"/>
          <w:szCs w:val="16"/>
        </w:rPr>
        <w:t xml:space="preserve">risulta essere il </w:t>
      </w:r>
      <w:r>
        <w:rPr>
          <w:rFonts w:ascii="Times New Roman" w:hAnsi="Times New Roman"/>
          <w:b/>
          <w:bCs/>
          <w:i/>
          <w:sz w:val="16"/>
          <w:szCs w:val="16"/>
        </w:rPr>
        <w:t>seguente:</w:t>
      </w:r>
    </w:p>
    <w:p w:rsidR="002A18F0" w:rsidRDefault="002A18F0" w:rsidP="002A18F0">
      <w:pPr>
        <w:spacing w:after="0" w:line="240" w:lineRule="auto"/>
        <w:jc w:val="both"/>
        <w:rPr>
          <w:rFonts w:ascii="Times New Roman" w:hAnsi="Times New Roman"/>
          <w:bCs/>
          <w:sz w:val="16"/>
          <w:szCs w:val="16"/>
        </w:rPr>
      </w:pPr>
    </w:p>
    <w:p w:rsidR="002A18F0" w:rsidRPr="0072752B" w:rsidRDefault="002A18F0" w:rsidP="002A18F0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72752B">
        <w:rPr>
          <w:rFonts w:ascii="Times New Roman" w:hAnsi="Times New Roman"/>
          <w:sz w:val="16"/>
          <w:szCs w:val="16"/>
        </w:rPr>
        <w:t xml:space="preserve">Indennità di </w:t>
      </w:r>
      <w:proofErr w:type="spellStart"/>
      <w:r w:rsidR="000A7EDB">
        <w:rPr>
          <w:rFonts w:ascii="Times New Roman" w:hAnsi="Times New Roman"/>
          <w:sz w:val="16"/>
          <w:szCs w:val="16"/>
        </w:rPr>
        <w:t>servitu’</w:t>
      </w:r>
      <w:proofErr w:type="spellEnd"/>
      <w:r w:rsidRPr="0072752B">
        <w:rPr>
          <w:rFonts w:ascii="Times New Roman" w:hAnsi="Times New Roman"/>
          <w:sz w:val="16"/>
          <w:szCs w:val="16"/>
        </w:rPr>
        <w:t xml:space="preserve"> = </w:t>
      </w:r>
    </w:p>
    <w:p w:rsidR="002A18F0" w:rsidRDefault="002A18F0" w:rsidP="002A18F0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bookmarkStart w:id="0" w:name="_GoBack"/>
      <w:bookmarkEnd w:id="0"/>
    </w:p>
    <w:p w:rsidR="00385928" w:rsidRPr="00894C2F" w:rsidRDefault="00385928" w:rsidP="001753D3">
      <w:pPr>
        <w:spacing w:after="0" w:line="240" w:lineRule="auto"/>
        <w:jc w:val="center"/>
        <w:rPr>
          <w:rFonts w:ascii="Times New Roman" w:hAnsi="Times New Roman"/>
          <w:b/>
          <w:bCs/>
          <w:i/>
          <w:sz w:val="16"/>
          <w:szCs w:val="16"/>
        </w:rPr>
      </w:pPr>
    </w:p>
    <w:p w:rsidR="004D78C6" w:rsidRDefault="004D78C6">
      <w:pPr>
        <w:rPr>
          <w:sz w:val="18"/>
          <w:szCs w:val="18"/>
        </w:rPr>
      </w:pPr>
    </w:p>
    <w:p w:rsidR="000D21CC" w:rsidRDefault="000D21CC">
      <w:pPr>
        <w:rPr>
          <w:sz w:val="18"/>
          <w:szCs w:val="18"/>
        </w:rPr>
      </w:pPr>
    </w:p>
    <w:p w:rsidR="000D21CC" w:rsidRPr="001753D3" w:rsidRDefault="000D21CC">
      <w:pPr>
        <w:rPr>
          <w:sz w:val="18"/>
          <w:szCs w:val="18"/>
        </w:rPr>
      </w:pPr>
    </w:p>
    <w:sectPr w:rsidR="000D21CC" w:rsidRPr="001753D3" w:rsidSect="001753D3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5928" w:rsidRDefault="00385928" w:rsidP="00385928">
      <w:pPr>
        <w:spacing w:after="0" w:line="240" w:lineRule="auto"/>
      </w:pPr>
      <w:r>
        <w:separator/>
      </w:r>
    </w:p>
  </w:endnote>
  <w:endnote w:type="continuationSeparator" w:id="0">
    <w:p w:rsidR="00385928" w:rsidRDefault="00385928" w:rsidP="003859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5928" w:rsidRDefault="00385928" w:rsidP="00385928">
      <w:pPr>
        <w:spacing w:after="0" w:line="240" w:lineRule="auto"/>
      </w:pPr>
      <w:r>
        <w:separator/>
      </w:r>
    </w:p>
  </w:footnote>
  <w:footnote w:type="continuationSeparator" w:id="0">
    <w:p w:rsidR="00385928" w:rsidRDefault="00385928" w:rsidP="003859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3D3"/>
    <w:rsid w:val="000A7EDB"/>
    <w:rsid w:val="000D21CC"/>
    <w:rsid w:val="001753D3"/>
    <w:rsid w:val="002A18F0"/>
    <w:rsid w:val="00385928"/>
    <w:rsid w:val="003A720B"/>
    <w:rsid w:val="004D78C6"/>
    <w:rsid w:val="0072752B"/>
    <w:rsid w:val="00DE2E45"/>
    <w:rsid w:val="00EE6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FA33CA-026C-474A-8C89-3A5F2D35D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A18F0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8592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85928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38592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85928"/>
    <w:rPr>
      <w:rFonts w:ascii="Calibri" w:eastAsia="Calibri" w:hAnsi="Calibri" w:cs="Times New Roman"/>
    </w:rPr>
  </w:style>
  <w:style w:type="table" w:styleId="Grigliatabella">
    <w:name w:val="Table Grid"/>
    <w:basedOn w:val="Tabellanormale"/>
    <w:uiPriority w:val="59"/>
    <w:rsid w:val="003859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593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 Di Palo</dc:creator>
  <cp:lastModifiedBy>Casa</cp:lastModifiedBy>
  <cp:revision>4</cp:revision>
  <dcterms:created xsi:type="dcterms:W3CDTF">2016-04-18T18:27:00Z</dcterms:created>
  <dcterms:modified xsi:type="dcterms:W3CDTF">2016-04-18T18:41:00Z</dcterms:modified>
</cp:coreProperties>
</file>